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F15EC4">
        <w:rPr>
          <w:rFonts w:ascii="Arial" w:hAnsi="Arial" w:cs="Arial"/>
          <w:noProof/>
          <w:sz w:val="22"/>
          <w:szCs w:val="22"/>
        </w:rPr>
        <w:t>23 sierpnia 2023</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B32E8A">
        <w:rPr>
          <w:rFonts w:ascii="Arial" w:hAnsi="Arial" w:cs="Arial"/>
          <w:b/>
          <w:sz w:val="22"/>
          <w:szCs w:val="22"/>
        </w:rPr>
        <w:t>F1-208-</w:t>
      </w:r>
      <w:r w:rsidR="00F15EC4">
        <w:rPr>
          <w:rFonts w:ascii="Arial" w:hAnsi="Arial" w:cs="Arial"/>
          <w:b/>
          <w:sz w:val="22"/>
          <w:szCs w:val="22"/>
        </w:rPr>
        <w:t>01/23</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w:t>
      </w:r>
      <w:r w:rsidRPr="00CD072E">
        <w:rPr>
          <w:rFonts w:ascii="Arial" w:hAnsi="Arial" w:cs="Arial"/>
          <w:noProof w:val="0"/>
          <w:szCs w:val="24"/>
        </w:rPr>
        <w:lastRenderedPageBreak/>
        <w:t xml:space="preserve">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B32E8A" w:rsidRPr="00C23CDC" w:rsidRDefault="00C22A5B" w:rsidP="007B4ACF">
      <w:pPr>
        <w:jc w:val="both"/>
      </w:pPr>
      <w:r w:rsidRPr="00C94C41">
        <w:rPr>
          <w:rFonts w:ascii="Arial" w:hAnsi="Arial" w:cs="Arial"/>
        </w:rPr>
        <w:br w:type="page"/>
      </w:r>
      <w:r w:rsidR="00CD072E" w:rsidRPr="00CD072E">
        <w:rPr>
          <w:rStyle w:val="Nagwek1Znak"/>
        </w:rPr>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7B4ACF">
        <w:t>Serwer typu A</w:t>
      </w:r>
      <w:r w:rsidR="00B32E8A" w:rsidRPr="00B32E8A">
        <w:t xml:space="preserve"> (</w:t>
      </w:r>
      <w:r w:rsidR="007B4ACF">
        <w:t>1</w:t>
      </w:r>
      <w:r w:rsidR="00B32E8A" w:rsidRPr="00B32E8A">
        <w:t xml:space="preserve"> sztuk</w:t>
      </w:r>
      <w:r w:rsidR="007B4ACF">
        <w:t>a</w:t>
      </w:r>
      <w:r w:rsidR="00B32E8A" w:rsidRPr="00B32E8A">
        <w:t>)</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6E2675" w:rsidRDefault="006E2675" w:rsidP="005F7227">
      <w:pPr>
        <w:jc w:val="both"/>
      </w:pPr>
      <w:r w:rsidRPr="006E2675">
        <w:t>48822000-6</w:t>
      </w:r>
      <w:r>
        <w:t xml:space="preserve"> </w:t>
      </w:r>
      <w:r w:rsidRPr="006E2675">
        <w:t>Serwery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Zamawiający dopuszcza możliwość złożenia oferty na 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544C00" w:rsidRDefault="00CD072E" w:rsidP="00544C00">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7975C2">
        <w:t>22.09</w:t>
      </w:r>
      <w:r w:rsidR="00B32E8A">
        <w:t>.2023</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00544C00">
        <w:t>8. Dodatkowo wykluczamy w postępowaniu:</w:t>
      </w:r>
    </w:p>
    <w:p w:rsidR="00544C00" w:rsidRDefault="00544C00" w:rsidP="00544C00">
      <w:pPr>
        <w:numPr>
          <w:ilvl w:val="0"/>
          <w:numId w:val="51"/>
        </w:numPr>
        <w:jc w:val="both"/>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D072E" w:rsidRDefault="00CD072E" w:rsidP="00CD072E">
      <w:pPr>
        <w:jc w:val="both"/>
      </w:pP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 xml:space="preserve">Formularz ofertowy </w:t>
      </w:r>
      <w:r w:rsidR="00544C00">
        <w:t xml:space="preserve">w systemie ezamowienia </w:t>
      </w:r>
      <w:r w:rsidRPr="0024634D">
        <w:t>- wypełniony i podpisany przez wykonawcę</w:t>
      </w:r>
      <w:r w:rsidR="00544C00">
        <w:t xml:space="preserve"> oraz załącznik w PDFie</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https://ezamowienia.gov.pl/</w:t>
      </w:r>
      <w:r w:rsidR="00B06FA2" w:rsidRPr="0024634D">
        <w:t xml:space="preserve">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w:t>
      </w:r>
      <w:r w:rsidR="00B06FA2">
        <w:t>ezamowienia</w:t>
      </w:r>
      <w:r w:rsidR="00F80DBD">
        <w:t>.gov.pl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rsidR="007975C2">
        <w:t>2023.08.31</w:t>
      </w:r>
      <w:r w:rsidRPr="0024634D">
        <w:t xml:space="preserve"> do godz. </w:t>
      </w:r>
      <w:r>
        <w:t>1</w:t>
      </w:r>
      <w:r w:rsidR="00BD76C6">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w:t>
      </w:r>
      <w:r w:rsidR="007975C2">
        <w:t>2023.08.31</w:t>
      </w:r>
      <w:r w:rsidRPr="0024634D">
        <w:t xml:space="preserve">, o godz. </w:t>
      </w:r>
      <w:r>
        <w:t>1</w:t>
      </w:r>
      <w:r w:rsidR="00BD76C6">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 xml:space="preserve">Cena oferty uwzględnia wszystkie zobowiązania, musi być podana w PLN cyfrowo i słownie z </w:t>
      </w:r>
      <w:r w:rsidR="00F023EF">
        <w:t xml:space="preserve">wliczeniem </w:t>
      </w:r>
      <w:r w:rsidRPr="0024634D">
        <w:t>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w:t>
      </w:r>
      <w:r w:rsidR="007975C2">
        <w:t>2</w:t>
      </w:r>
      <w:r>
        <w:t xml:space="preserve"> miesięcy i nie więcej niż </w:t>
      </w:r>
      <w:r w:rsidR="007975C2">
        <w:t>24</w:t>
      </w:r>
      <w:r>
        <w:t xml:space="preserve"> miesięcy;</w:t>
      </w:r>
    </w:p>
    <w:p w:rsidR="00FB0D2C" w:rsidRDefault="00FB0D2C" w:rsidP="00FB0D2C">
      <w:pPr>
        <w:jc w:val="both"/>
      </w:pPr>
      <w:r>
        <w:t>b)</w:t>
      </w:r>
      <w:r>
        <w:tab/>
        <w:t>w przypadku wpisania w ofercie okresu gwarancji mniej niż 1</w:t>
      </w:r>
      <w:r w:rsidR="007975C2">
        <w:t>2</w:t>
      </w:r>
      <w:r>
        <w:t xml:space="preserve"> miesięcy, oferta zostanie odrzucona;</w:t>
      </w:r>
    </w:p>
    <w:p w:rsidR="00FB0D2C" w:rsidRDefault="00FB0D2C" w:rsidP="00FB0D2C">
      <w:pPr>
        <w:jc w:val="both"/>
      </w:pPr>
      <w:r>
        <w:t>c)</w:t>
      </w:r>
      <w:r>
        <w:tab/>
        <w:t xml:space="preserve">w przypadku wpisania w ofercie okresu gwarancji więcej niż </w:t>
      </w:r>
      <w:r w:rsidR="007975C2">
        <w:t>24</w:t>
      </w:r>
      <w:r>
        <w:t xml:space="preserve"> miesięcy, Zamawiający do wykonania obliczenia punktacji przyjmie wartość </w:t>
      </w:r>
      <w:r w:rsidR="007975C2">
        <w:t>24</w:t>
      </w:r>
      <w:r>
        <w:t>;</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Pr="00B77D55">
        <w:rPr>
          <w:rStyle w:val="Nagwek1Znak"/>
        </w:rPr>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Pr="00B77D55">
        <w:rPr>
          <w:rStyle w:val="Nagwek1Znak"/>
        </w:rPr>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1"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pPr>
      <w:r w:rsidRPr="00D54D6B">
        <w:t>FORMULARZ OFERTY</w:t>
      </w:r>
    </w:p>
    <w:p w:rsidR="00B32E8A" w:rsidRPr="007B4ACF" w:rsidRDefault="00B32E8A" w:rsidP="00B32E8A">
      <w:pPr>
        <w:rPr>
          <w:b/>
          <w:smallCaps/>
          <w:sz w:val="36"/>
        </w:rPr>
      </w:pPr>
      <w:r w:rsidRPr="007B4ACF">
        <w:rPr>
          <w:b/>
          <w:smallCaps/>
          <w:sz w:val="36"/>
        </w:rPr>
        <w:t xml:space="preserve">(uwaga </w:t>
      </w:r>
      <w:r w:rsidR="00310A61" w:rsidRPr="007B4ACF">
        <w:rPr>
          <w:b/>
          <w:smallCaps/>
          <w:sz w:val="36"/>
        </w:rPr>
        <w:t>warunki cenowe oraz gwarancji należy wypełnić w systemie e-zamowienia w dokumencie „formularz ofertowy”)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B32E8A">
        <w:rPr>
          <w:rFonts w:ascii="Arial" w:hAnsi="Arial" w:cs="Arial"/>
          <w:b/>
        </w:rPr>
        <w:t>F1-208-</w:t>
      </w:r>
      <w:r w:rsidR="00F15EC4">
        <w:rPr>
          <w:rFonts w:ascii="Arial" w:hAnsi="Arial" w:cs="Arial"/>
          <w:b/>
        </w:rPr>
        <w:t>01/23</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361B2"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sidR="00D361B2">
        <w:rPr>
          <w:rFonts w:ascii="Arial" w:hAnsi="Arial" w:cs="Arial"/>
          <w:b/>
        </w:rPr>
        <w:t xml:space="preserve"> zgodnie </w:t>
      </w:r>
      <w:r w:rsidR="00D361B2">
        <w:rPr>
          <w:rFonts w:ascii="Arial" w:hAnsi="Arial" w:cs="Arial"/>
          <w:b/>
        </w:rPr>
        <w:br/>
        <w:t xml:space="preserve">z </w:t>
      </w:r>
      <w:r>
        <w:rPr>
          <w:rFonts w:ascii="Arial" w:hAnsi="Arial" w:cs="Arial"/>
          <w:b/>
        </w:rPr>
        <w:t>warunkami</w:t>
      </w:r>
      <w:r w:rsidR="00D361B2">
        <w:rPr>
          <w:rFonts w:ascii="Arial" w:hAnsi="Arial" w:cs="Arial"/>
          <w:b/>
        </w:rPr>
        <w:t xml:space="preserve"> cenowo-gwarancyjnymi opisanym</w:t>
      </w:r>
      <w:r w:rsidR="007B4ACF">
        <w:rPr>
          <w:rFonts w:ascii="Arial" w:hAnsi="Arial" w:cs="Arial"/>
          <w:b/>
        </w:rPr>
        <w:t>i</w:t>
      </w:r>
      <w:r w:rsidR="00D361B2">
        <w:rPr>
          <w:rFonts w:ascii="Arial" w:hAnsi="Arial" w:cs="Arial"/>
          <w:b/>
        </w:rPr>
        <w:t xml:space="preserve"> w formularzu ofertowym złoż</w:t>
      </w:r>
      <w:r w:rsidR="007B4ACF">
        <w:rPr>
          <w:rFonts w:ascii="Arial" w:hAnsi="Arial" w:cs="Arial"/>
          <w:b/>
        </w:rPr>
        <w:t>o</w:t>
      </w:r>
      <w:r w:rsidR="00D361B2">
        <w:rPr>
          <w:rFonts w:ascii="Arial" w:hAnsi="Arial" w:cs="Arial"/>
          <w:b/>
        </w:rPr>
        <w:t>nym w systemie ezamówienia.</w:t>
      </w:r>
    </w:p>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635275">
        <w:rPr>
          <w:rFonts w:ascii="Arial" w:hAnsi="Arial" w:cs="Arial"/>
          <w:b/>
          <w:sz w:val="22"/>
          <w:szCs w:val="22"/>
          <w:u w:val="single"/>
        </w:rPr>
        <w:t xml:space="preserve"> oraz </w:t>
      </w:r>
      <w:r w:rsidR="00635275" w:rsidRPr="00635275">
        <w:rPr>
          <w:rFonts w:ascii="Arial" w:hAnsi="Arial" w:cs="Arial"/>
          <w:b/>
          <w:sz w:val="22"/>
          <w:szCs w:val="22"/>
          <w:u w:val="single"/>
        </w:rPr>
        <w:t>art. 7 ust. 1 ustawy z dnia 13 kwietnia 2022 r. o szczególnych rozwiązaniach w zakresie przeciwdziałania wspieraniu agresji na Ukrainę oraz służących ochronie bezpieczeństwa narodowego (Dz. U. poz. 835)</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B32E8A">
        <w:rPr>
          <w:sz w:val="22"/>
          <w:szCs w:val="22"/>
        </w:rPr>
        <w:t>F1-208-</w:t>
      </w:r>
      <w:r w:rsidR="00F15EC4">
        <w:rPr>
          <w:sz w:val="22"/>
          <w:szCs w:val="22"/>
        </w:rPr>
        <w:t>01/23</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B32E8A">
        <w:t>F1-208-</w:t>
      </w:r>
      <w:r w:rsidR="00F15EC4">
        <w:t>01/23</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7975C2">
        <w:rPr>
          <w:rFonts w:ascii="Arial" w:hAnsi="Arial" w:cs="Arial"/>
          <w:bCs/>
          <w:sz w:val="20"/>
          <w:szCs w:val="20"/>
        </w:rPr>
        <w:t>22.09</w:t>
      </w:r>
      <w:r w:rsidR="00310A61">
        <w:rPr>
          <w:rFonts w:ascii="Arial" w:hAnsi="Arial" w:cs="Arial"/>
          <w:bCs/>
          <w:sz w:val="20"/>
          <w:szCs w:val="20"/>
        </w:rPr>
        <w:t>.2023</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310A61"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7975C2" w:rsidP="000B4562">
      <w:pPr>
        <w:ind w:left="720"/>
        <w:jc w:val="both"/>
        <w:rPr>
          <w:rFonts w:ascii="Arial" w:hAnsi="Arial" w:cs="Arial"/>
          <w:spacing w:val="-1"/>
          <w:lang w:eastAsia="zh-CN"/>
        </w:rPr>
      </w:pPr>
      <w:r>
        <w:rPr>
          <w:rFonts w:ascii="Arial" w:hAnsi="Arial" w:cs="Arial"/>
        </w:rPr>
        <w:t xml:space="preserve">Serwer </w:t>
      </w:r>
      <w:r w:rsidR="00310A61" w:rsidRPr="00310A61">
        <w:rPr>
          <w:rFonts w:ascii="Arial" w:hAnsi="Arial" w:cs="Arial"/>
        </w:rPr>
        <w:t>typu A (</w:t>
      </w:r>
      <w:r>
        <w:rPr>
          <w:rFonts w:ascii="Arial" w:hAnsi="Arial" w:cs="Arial"/>
        </w:rPr>
        <w:t>1</w:t>
      </w:r>
      <w:r w:rsidR="00310A61" w:rsidRPr="00310A61">
        <w:rPr>
          <w:rFonts w:ascii="Arial" w:hAnsi="Arial" w:cs="Arial"/>
        </w:rPr>
        <w:t xml:space="preserve"> sztuk</w:t>
      </w:r>
      <w:r>
        <w:rPr>
          <w:rFonts w:ascii="Arial" w:hAnsi="Arial" w:cs="Arial"/>
        </w:rPr>
        <w:t>a</w:t>
      </w:r>
      <w:r w:rsidR="00310A61" w:rsidRPr="00310A61">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7975C2" w:rsidP="007975C2">
            <w:pPr>
              <w:jc w:val="center"/>
              <w:rPr>
                <w:rFonts w:ascii="Arial" w:hAnsi="Arial" w:cs="Arial"/>
                <w:b/>
                <w:sz w:val="16"/>
                <w:szCs w:val="16"/>
              </w:rPr>
            </w:pPr>
            <w:r>
              <w:rPr>
                <w:rFonts w:ascii="Arial" w:hAnsi="Arial" w:cs="Arial"/>
                <w:b/>
                <w:sz w:val="16"/>
                <w:szCs w:val="16"/>
              </w:rPr>
              <w:t xml:space="preserve">Serwer </w:t>
            </w:r>
            <w:r w:rsidR="000576DB">
              <w:rPr>
                <w:rFonts w:ascii="Arial" w:hAnsi="Arial" w:cs="Arial"/>
                <w:b/>
                <w:sz w:val="16"/>
                <w:szCs w:val="16"/>
              </w:rPr>
              <w:t>typu A</w:t>
            </w:r>
            <w:r w:rsidR="008A5C5A">
              <w:rPr>
                <w:rFonts w:ascii="Arial" w:hAnsi="Arial" w:cs="Arial"/>
                <w:b/>
                <w:sz w:val="16"/>
                <w:szCs w:val="16"/>
              </w:rPr>
              <w:t xml:space="preserve"> (</w:t>
            </w:r>
            <w:r>
              <w:rPr>
                <w:rFonts w:ascii="Arial" w:hAnsi="Arial" w:cs="Arial"/>
                <w:b/>
                <w:sz w:val="16"/>
                <w:szCs w:val="16"/>
              </w:rPr>
              <w:t>1</w:t>
            </w:r>
            <w:r w:rsidR="005522D4">
              <w:rPr>
                <w:rFonts w:ascii="Arial" w:hAnsi="Arial" w:cs="Arial"/>
                <w:b/>
                <w:sz w:val="16"/>
                <w:szCs w:val="16"/>
              </w:rPr>
              <w:t xml:space="preserve"> sztuk</w:t>
            </w:r>
            <w:r>
              <w:rPr>
                <w:rFonts w:ascii="Arial" w:hAnsi="Arial" w:cs="Arial"/>
                <w:b/>
                <w:sz w:val="16"/>
                <w:szCs w:val="16"/>
              </w:rPr>
              <w:t>a</w:t>
            </w:r>
            <w:r w:rsidR="005522D4">
              <w:rPr>
                <w:rFonts w:ascii="Arial" w:hAnsi="Arial" w:cs="Arial"/>
                <w:b/>
                <w:sz w:val="16"/>
                <w:szCs w:val="16"/>
              </w:rPr>
              <w:t>)</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Procesor</w:t>
            </w:r>
          </w:p>
        </w:tc>
        <w:tc>
          <w:tcPr>
            <w:tcW w:w="2749" w:type="pct"/>
            <w:gridSpan w:val="2"/>
          </w:tcPr>
          <w:p w:rsidR="00924F62" w:rsidRPr="00924F62" w:rsidRDefault="00924F62" w:rsidP="00924F62">
            <w:pPr>
              <w:outlineLvl w:val="0"/>
              <w:rPr>
                <w:rFonts w:ascii="Arial Narrow" w:hAnsi="Arial Narrow"/>
                <w:sz w:val="16"/>
                <w:szCs w:val="16"/>
              </w:rPr>
            </w:pPr>
            <w:r w:rsidRPr="00924F62">
              <w:rPr>
                <w:rFonts w:ascii="Arial Narrow" w:hAnsi="Arial Narrow"/>
                <w:sz w:val="16"/>
                <w:szCs w:val="16"/>
              </w:rPr>
              <w:t>Procesor wielordzeniowy</w:t>
            </w:r>
            <w:r w:rsidR="00B96B4F">
              <w:rPr>
                <w:rFonts w:ascii="Arial Narrow" w:hAnsi="Arial Narrow"/>
                <w:sz w:val="16"/>
                <w:szCs w:val="16"/>
              </w:rPr>
              <w:t xml:space="preserve"> </w:t>
            </w:r>
            <w:r w:rsidR="00B96B4F" w:rsidRPr="00B96B4F">
              <w:rPr>
                <w:rFonts w:ascii="Arial Narrow" w:hAnsi="Arial Narrow"/>
                <w:sz w:val="16"/>
                <w:szCs w:val="16"/>
              </w:rPr>
              <w:t>(</w:t>
            </w:r>
            <w:r w:rsidR="00B96B4F">
              <w:rPr>
                <w:rFonts w:ascii="Arial Narrow" w:hAnsi="Arial Narrow"/>
                <w:sz w:val="16"/>
                <w:szCs w:val="16"/>
              </w:rPr>
              <w:t xml:space="preserve">min. </w:t>
            </w:r>
            <w:r w:rsidR="00B96B4F" w:rsidRPr="00B96B4F">
              <w:rPr>
                <w:rFonts w:ascii="Arial Narrow" w:hAnsi="Arial Narrow"/>
                <w:sz w:val="16"/>
                <w:szCs w:val="16"/>
              </w:rPr>
              <w:t>2 szt.)</w:t>
            </w:r>
            <w:r w:rsidRPr="00924F62">
              <w:rPr>
                <w:rFonts w:ascii="Arial Narrow" w:hAnsi="Arial Narrow"/>
                <w:sz w:val="16"/>
                <w:szCs w:val="16"/>
              </w:rPr>
              <w:t xml:space="preserve">, zaprojektowany do pracy w komputerach przenośnych klasy x86, o wydajności liczonej w punktach równej lub wyższej procesorowi Intel </w:t>
            </w:r>
            <w:r w:rsidR="007975C2" w:rsidRPr="007975C2">
              <w:rPr>
                <w:rFonts w:ascii="Arial Narrow" w:hAnsi="Arial Narrow"/>
                <w:sz w:val="16"/>
                <w:szCs w:val="16"/>
              </w:rPr>
              <w:t>E5-2697A V4</w:t>
            </w:r>
            <w:r w:rsidR="007975C2">
              <w:rPr>
                <w:rFonts w:ascii="Arial Narrow" w:hAnsi="Arial Narrow"/>
                <w:sz w:val="16"/>
                <w:szCs w:val="16"/>
              </w:rPr>
              <w:t xml:space="preserve"> </w:t>
            </w:r>
            <w:r w:rsidRPr="00924F62">
              <w:rPr>
                <w:rFonts w:ascii="Arial Narrow" w:hAnsi="Arial Narrow"/>
                <w:sz w:val="16"/>
                <w:szCs w:val="16"/>
              </w:rPr>
              <w:t>na podstawie PerformanceTest w teście CPU Mark według wyników opublikowanych na http://www.cpubenchmark.net/. Wykonawca w składanej ofercie winien podać dokładny model oferowanego podzespołu.</w:t>
            </w:r>
          </w:p>
          <w:p w:rsidR="00924F62" w:rsidRPr="00924F62" w:rsidRDefault="00924F62" w:rsidP="00924F62">
            <w:pPr>
              <w:rPr>
                <w:rFonts w:ascii="Arial Narrow" w:hAnsi="Arial Narrow"/>
                <w:sz w:val="16"/>
                <w:szCs w:val="16"/>
              </w:rPr>
            </w:pPr>
          </w:p>
        </w:tc>
        <w:tc>
          <w:tcPr>
            <w:tcW w:w="999" w:type="pct"/>
          </w:tcPr>
          <w:p w:rsidR="00924F62" w:rsidRPr="00924F62" w:rsidRDefault="00924F62" w:rsidP="00924F62">
            <w:pPr>
              <w:spacing w:line="360" w:lineRule="auto"/>
              <w:outlineLvl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Pamięć operacyjna RAM</w:t>
            </w:r>
          </w:p>
        </w:tc>
        <w:tc>
          <w:tcPr>
            <w:tcW w:w="2749" w:type="pct"/>
            <w:gridSpan w:val="2"/>
          </w:tcPr>
          <w:p w:rsidR="00924F62" w:rsidRPr="00B96B4F" w:rsidRDefault="00924F62" w:rsidP="00924F62">
            <w:pPr>
              <w:outlineLvl w:val="0"/>
              <w:rPr>
                <w:rFonts w:ascii="Arial Narrow" w:hAnsi="Arial Narrow"/>
                <w:sz w:val="16"/>
                <w:szCs w:val="16"/>
              </w:rPr>
            </w:pPr>
            <w:r w:rsidRPr="00B96B4F">
              <w:rPr>
                <w:rFonts w:ascii="Arial Narrow" w:hAnsi="Arial Narrow"/>
                <w:sz w:val="16"/>
                <w:szCs w:val="16"/>
              </w:rPr>
              <w:t xml:space="preserve">Min. </w:t>
            </w:r>
            <w:r w:rsidR="007975C2" w:rsidRPr="00B96B4F">
              <w:rPr>
                <w:rFonts w:ascii="Arial Narrow" w:hAnsi="Arial Narrow"/>
                <w:sz w:val="16"/>
                <w:szCs w:val="16"/>
              </w:rPr>
              <w:t>10</w:t>
            </w:r>
            <w:r w:rsidR="0014685D">
              <w:rPr>
                <w:rFonts w:ascii="Arial Narrow" w:hAnsi="Arial Narrow"/>
                <w:sz w:val="16"/>
                <w:szCs w:val="16"/>
              </w:rPr>
              <w:t>00</w:t>
            </w:r>
            <w:r w:rsidR="007975C2" w:rsidRPr="00B96B4F">
              <w:rPr>
                <w:rFonts w:ascii="Arial Narrow" w:hAnsi="Arial Narrow"/>
                <w:sz w:val="16"/>
                <w:szCs w:val="16"/>
              </w:rPr>
              <w:t xml:space="preserve"> </w:t>
            </w:r>
            <w:r w:rsidRPr="00B96B4F">
              <w:rPr>
                <w:rFonts w:ascii="Arial Narrow" w:hAnsi="Arial Narrow"/>
                <w:sz w:val="16"/>
                <w:szCs w:val="16"/>
              </w:rPr>
              <w:t xml:space="preserve">GB </w:t>
            </w:r>
            <w:r w:rsidR="007975C2" w:rsidRPr="00B96B4F">
              <w:rPr>
                <w:rFonts w:ascii="Arial Narrow" w:hAnsi="Arial Narrow"/>
                <w:sz w:val="16"/>
                <w:szCs w:val="16"/>
              </w:rPr>
              <w:t>DDR4</w:t>
            </w:r>
          </w:p>
          <w:p w:rsidR="00924F62" w:rsidRPr="00924F62" w:rsidRDefault="00924F62" w:rsidP="007975C2">
            <w:pPr>
              <w:outlineLvl w:val="0"/>
              <w:rPr>
                <w:rFonts w:ascii="Arial Narrow" w:hAnsi="Arial Narrow"/>
                <w:sz w:val="16"/>
                <w:szCs w:val="16"/>
              </w:rPr>
            </w:pPr>
            <w:r w:rsidRPr="00924F62">
              <w:rPr>
                <w:rFonts w:ascii="Arial Narrow" w:hAnsi="Arial Narrow"/>
                <w:sz w:val="16"/>
                <w:szCs w:val="16"/>
              </w:rPr>
              <w:t xml:space="preserve">Możliwość rozbudowy pamięci do min. </w:t>
            </w:r>
            <w:r w:rsidR="007975C2">
              <w:rPr>
                <w:rFonts w:ascii="Arial Narrow" w:hAnsi="Arial Narrow"/>
                <w:sz w:val="16"/>
                <w:szCs w:val="16"/>
              </w:rPr>
              <w:t>1400</w:t>
            </w:r>
            <w:r w:rsidRPr="00924F62">
              <w:rPr>
                <w:rFonts w:ascii="Arial Narrow" w:hAnsi="Arial Narrow"/>
                <w:sz w:val="16"/>
                <w:szCs w:val="16"/>
              </w:rPr>
              <w:t>GB</w:t>
            </w:r>
            <w:r w:rsidR="007975C2">
              <w:rPr>
                <w:rFonts w:ascii="Arial Narrow" w:hAnsi="Arial Narrow"/>
                <w:sz w:val="16"/>
                <w:szCs w:val="16"/>
              </w:rPr>
              <w:t xml:space="preserve"> per procesor</w:t>
            </w:r>
          </w:p>
        </w:tc>
        <w:tc>
          <w:tcPr>
            <w:tcW w:w="999" w:type="pct"/>
          </w:tcPr>
          <w:p w:rsidR="00924F62" w:rsidRPr="00924F62" w:rsidRDefault="00924F62" w:rsidP="00924F62">
            <w:pPr>
              <w:outlineLvl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Parametry pamięci masowej</w:t>
            </w:r>
          </w:p>
        </w:tc>
        <w:tc>
          <w:tcPr>
            <w:tcW w:w="2749" w:type="pct"/>
            <w:gridSpan w:val="2"/>
          </w:tcPr>
          <w:p w:rsidR="007975C2" w:rsidRDefault="007975C2" w:rsidP="00924F62">
            <w:pPr>
              <w:autoSpaceDE w:val="0"/>
              <w:autoSpaceDN w:val="0"/>
              <w:adjustRightInd w:val="0"/>
              <w:rPr>
                <w:rFonts w:ascii="Arial Narrow" w:hAnsi="Arial Narrow"/>
                <w:sz w:val="16"/>
                <w:szCs w:val="16"/>
              </w:rPr>
            </w:pPr>
            <w:r>
              <w:rPr>
                <w:rFonts w:ascii="Arial Narrow" w:hAnsi="Arial Narrow"/>
                <w:sz w:val="16"/>
                <w:szCs w:val="16"/>
              </w:rPr>
              <w:t xml:space="preserve">10 dysków SSD SATA </w:t>
            </w:r>
            <w:r w:rsidR="00B96B4F">
              <w:rPr>
                <w:rFonts w:ascii="Arial Narrow" w:hAnsi="Arial Narrow"/>
                <w:sz w:val="16"/>
                <w:szCs w:val="16"/>
              </w:rPr>
              <w:t xml:space="preserve">2,5” </w:t>
            </w:r>
            <w:r>
              <w:rPr>
                <w:rFonts w:ascii="Arial Narrow" w:hAnsi="Arial Narrow"/>
                <w:sz w:val="16"/>
                <w:szCs w:val="16"/>
              </w:rPr>
              <w:t>wielkości minimum 4TB (dyski fabrycznie nowe, min. 3 lata gwarancji na dyski</w:t>
            </w:r>
            <w:r w:rsidR="00B96B4F">
              <w:rPr>
                <w:rFonts w:ascii="Arial Narrow" w:hAnsi="Arial Narrow"/>
                <w:sz w:val="16"/>
                <w:szCs w:val="16"/>
              </w:rPr>
              <w:t>, dedykowane do pracy ciągłej w serwerze</w:t>
            </w:r>
            <w:r>
              <w:rPr>
                <w:rFonts w:ascii="Arial Narrow" w:hAnsi="Arial Narrow"/>
                <w:sz w:val="16"/>
                <w:szCs w:val="16"/>
              </w:rPr>
              <w:t>)</w:t>
            </w:r>
            <w:r w:rsidR="0014685D">
              <w:rPr>
                <w:rFonts w:ascii="Arial Narrow" w:hAnsi="Arial Narrow"/>
                <w:sz w:val="16"/>
                <w:szCs w:val="16"/>
              </w:rPr>
              <w:t xml:space="preserve"> dopuszczalne zastosowanie większych dysków wymagamy poj. brutto min. 40TB</w:t>
            </w:r>
          </w:p>
          <w:p w:rsidR="00924F62" w:rsidRPr="00924F62" w:rsidRDefault="00B96B4F" w:rsidP="00B96B4F">
            <w:pPr>
              <w:autoSpaceDE w:val="0"/>
              <w:autoSpaceDN w:val="0"/>
              <w:adjustRightInd w:val="0"/>
              <w:rPr>
                <w:rFonts w:ascii="Arial Narrow" w:hAnsi="Arial Narrow"/>
                <w:sz w:val="16"/>
                <w:szCs w:val="16"/>
              </w:rPr>
            </w:pPr>
            <w:r>
              <w:rPr>
                <w:rFonts w:ascii="Arial Narrow" w:hAnsi="Arial Narrow"/>
                <w:sz w:val="16"/>
                <w:szCs w:val="16"/>
              </w:rPr>
              <w:t>Dostępne min. 16 wolnych slotów na dyski sloty są wyposażone w kieszenie</w:t>
            </w:r>
          </w:p>
        </w:tc>
        <w:tc>
          <w:tcPr>
            <w:tcW w:w="999" w:type="pct"/>
          </w:tcPr>
          <w:p w:rsidR="00924F62" w:rsidRPr="00924F62" w:rsidRDefault="00924F62" w:rsidP="00924F62">
            <w:pPr>
              <w:autoSpaceDE w:val="0"/>
              <w:autoSpaceDN w:val="0"/>
              <w:adjustRightInd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Karta graficzna</w:t>
            </w:r>
          </w:p>
        </w:tc>
        <w:tc>
          <w:tcPr>
            <w:tcW w:w="2749" w:type="pct"/>
            <w:gridSpan w:val="2"/>
          </w:tcPr>
          <w:p w:rsidR="00924F62" w:rsidRPr="00924F62" w:rsidRDefault="00924F62" w:rsidP="00924F62">
            <w:pPr>
              <w:autoSpaceDE w:val="0"/>
              <w:autoSpaceDN w:val="0"/>
              <w:adjustRightInd w:val="0"/>
              <w:rPr>
                <w:rFonts w:ascii="Arial Narrow" w:hAnsi="Arial Narrow"/>
                <w:sz w:val="16"/>
                <w:szCs w:val="16"/>
              </w:rPr>
            </w:pPr>
            <w:r w:rsidRPr="00924F62">
              <w:rPr>
                <w:rFonts w:ascii="Arial Narrow" w:hAnsi="Arial Narrow"/>
                <w:sz w:val="16"/>
                <w:szCs w:val="16"/>
              </w:rPr>
              <w:t>Zintegrowana z procesorem</w:t>
            </w:r>
          </w:p>
        </w:tc>
        <w:tc>
          <w:tcPr>
            <w:tcW w:w="999" w:type="pct"/>
          </w:tcPr>
          <w:p w:rsidR="00924F62" w:rsidRPr="00924F62" w:rsidRDefault="00924F62" w:rsidP="00924F62">
            <w:pPr>
              <w:autoSpaceDE w:val="0"/>
              <w:autoSpaceDN w:val="0"/>
              <w:adjustRightInd w:val="0"/>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bCs/>
                <w:sz w:val="16"/>
                <w:szCs w:val="16"/>
              </w:rPr>
            </w:pPr>
            <w:r w:rsidRPr="00924F62">
              <w:rPr>
                <w:rFonts w:ascii="Arial Narrow" w:hAnsi="Arial Narrow"/>
                <w:bCs/>
                <w:sz w:val="16"/>
                <w:szCs w:val="16"/>
              </w:rPr>
              <w:t>Obudowa</w:t>
            </w:r>
          </w:p>
        </w:tc>
        <w:tc>
          <w:tcPr>
            <w:tcW w:w="2749" w:type="pct"/>
            <w:gridSpan w:val="2"/>
          </w:tcPr>
          <w:p w:rsidR="00924F62" w:rsidRPr="00924F62" w:rsidRDefault="00B96B4F" w:rsidP="00B96B4F">
            <w:pPr>
              <w:autoSpaceDE w:val="0"/>
              <w:autoSpaceDN w:val="0"/>
              <w:adjustRightInd w:val="0"/>
              <w:rPr>
                <w:rFonts w:ascii="Arial Narrow" w:hAnsi="Arial Narrow"/>
                <w:sz w:val="16"/>
                <w:szCs w:val="16"/>
              </w:rPr>
            </w:pPr>
            <w:r w:rsidRPr="00B96B4F">
              <w:rPr>
                <w:rFonts w:ascii="Arial Narrow" w:hAnsi="Arial Narrow"/>
                <w:sz w:val="16"/>
                <w:szCs w:val="16"/>
              </w:rPr>
              <w:t xml:space="preserve">Min. </w:t>
            </w:r>
            <w:r>
              <w:rPr>
                <w:rFonts w:ascii="Arial Narrow" w:hAnsi="Arial Narrow"/>
                <w:sz w:val="16"/>
                <w:szCs w:val="16"/>
              </w:rPr>
              <w:t>24+2</w:t>
            </w:r>
            <w:r w:rsidRPr="00B96B4F">
              <w:rPr>
                <w:rFonts w:ascii="Arial Narrow" w:hAnsi="Arial Narrow"/>
                <w:sz w:val="16"/>
                <w:szCs w:val="16"/>
              </w:rPr>
              <w:t xml:space="preserve">xkieszeń </w:t>
            </w:r>
            <w:r>
              <w:rPr>
                <w:rFonts w:ascii="Arial Narrow" w:hAnsi="Arial Narrow"/>
                <w:sz w:val="16"/>
                <w:szCs w:val="16"/>
              </w:rPr>
              <w:t>2</w:t>
            </w:r>
            <w:r w:rsidRPr="00B96B4F">
              <w:rPr>
                <w:rFonts w:ascii="Arial Narrow" w:hAnsi="Arial Narrow"/>
                <w:sz w:val="16"/>
                <w:szCs w:val="16"/>
              </w:rPr>
              <w:t>,5" SAS/SATA (wraz z kieszeniami na dyski), wysokość maks. 2U, zasilanie min. 2*</w:t>
            </w:r>
            <w:r>
              <w:rPr>
                <w:rFonts w:ascii="Arial Narrow" w:hAnsi="Arial Narrow"/>
                <w:sz w:val="16"/>
                <w:szCs w:val="16"/>
              </w:rPr>
              <w:t>110</w:t>
            </w:r>
            <w:r w:rsidRPr="00B96B4F">
              <w:rPr>
                <w:rFonts w:ascii="Arial Narrow" w:hAnsi="Arial Narrow"/>
                <w:sz w:val="16"/>
                <w:szCs w:val="16"/>
              </w:rPr>
              <w:t xml:space="preserve">0W redundantne, szyny do montażu w szafach 19” </w:t>
            </w:r>
          </w:p>
        </w:tc>
        <w:tc>
          <w:tcPr>
            <w:tcW w:w="999" w:type="pct"/>
          </w:tcPr>
          <w:p w:rsidR="00924F62" w:rsidRPr="00924F62" w:rsidRDefault="00924F62" w:rsidP="00924F62">
            <w:pPr>
              <w:autoSpaceDE w:val="0"/>
              <w:autoSpaceDN w:val="0"/>
              <w:adjustRightInd w:val="0"/>
              <w:rPr>
                <w:rFonts w:ascii="Arial Narrow" w:hAnsi="Arial Narrow"/>
                <w:sz w:val="16"/>
                <w:szCs w:val="16"/>
                <w:highlight w:val="yellow"/>
              </w:rPr>
            </w:pPr>
          </w:p>
        </w:tc>
      </w:tr>
      <w:tr w:rsidR="00B96B4F"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B96B4F" w:rsidRPr="00924F62" w:rsidRDefault="00B96B4F" w:rsidP="00924F62">
            <w:pPr>
              <w:numPr>
                <w:ilvl w:val="0"/>
                <w:numId w:val="14"/>
              </w:numPr>
              <w:rPr>
                <w:rFonts w:ascii="Arial Narrow" w:hAnsi="Arial Narrow"/>
                <w:bCs/>
                <w:sz w:val="16"/>
                <w:szCs w:val="16"/>
              </w:rPr>
            </w:pPr>
          </w:p>
        </w:tc>
        <w:tc>
          <w:tcPr>
            <w:tcW w:w="1018" w:type="pct"/>
          </w:tcPr>
          <w:p w:rsidR="00B96B4F" w:rsidRPr="00924F62" w:rsidRDefault="00B96B4F" w:rsidP="00B96B4F">
            <w:pPr>
              <w:rPr>
                <w:rFonts w:ascii="Arial Narrow" w:hAnsi="Arial Narrow"/>
                <w:bCs/>
                <w:sz w:val="16"/>
                <w:szCs w:val="16"/>
              </w:rPr>
            </w:pPr>
            <w:r w:rsidRPr="00B96B4F">
              <w:rPr>
                <w:rFonts w:ascii="Arial Narrow" w:hAnsi="Arial Narrow"/>
                <w:bCs/>
                <w:sz w:val="16"/>
                <w:szCs w:val="16"/>
              </w:rPr>
              <w:t>Za</w:t>
            </w:r>
            <w:r>
              <w:rPr>
                <w:rFonts w:ascii="Arial Narrow" w:hAnsi="Arial Narrow"/>
                <w:bCs/>
                <w:sz w:val="16"/>
                <w:szCs w:val="16"/>
              </w:rPr>
              <w:t>rządzanie zdalne</w:t>
            </w:r>
          </w:p>
        </w:tc>
        <w:tc>
          <w:tcPr>
            <w:tcW w:w="2749" w:type="pct"/>
            <w:gridSpan w:val="2"/>
          </w:tcPr>
          <w:p w:rsidR="00B96B4F" w:rsidRPr="00B96B4F" w:rsidRDefault="00B96B4F" w:rsidP="00B96B4F">
            <w:pPr>
              <w:autoSpaceDE w:val="0"/>
              <w:autoSpaceDN w:val="0"/>
              <w:adjustRightInd w:val="0"/>
              <w:rPr>
                <w:rFonts w:ascii="Arial Narrow" w:hAnsi="Arial Narrow"/>
                <w:sz w:val="16"/>
                <w:szCs w:val="16"/>
              </w:rPr>
            </w:pPr>
            <w:r w:rsidRPr="00B96B4F">
              <w:rPr>
                <w:rFonts w:ascii="Arial Narrow" w:hAnsi="Arial Narrow"/>
                <w:bCs/>
                <w:sz w:val="16"/>
                <w:szCs w:val="16"/>
              </w:rPr>
              <w:t>Zarządzanie niezależne od systemu operacyjnego, włączanie/wyłączanie zasilania, konsola graficzna</w:t>
            </w:r>
          </w:p>
        </w:tc>
        <w:tc>
          <w:tcPr>
            <w:tcW w:w="999" w:type="pct"/>
          </w:tcPr>
          <w:p w:rsidR="00B96B4F" w:rsidRPr="00924F62" w:rsidRDefault="00B96B4F" w:rsidP="00924F62">
            <w:pPr>
              <w:autoSpaceDE w:val="0"/>
              <w:autoSpaceDN w:val="0"/>
              <w:adjustRightInd w:val="0"/>
              <w:rPr>
                <w:rFonts w:ascii="Arial Narrow" w:hAnsi="Arial Narrow"/>
                <w:sz w:val="16"/>
                <w:szCs w:val="16"/>
                <w:highlight w:val="yellow"/>
              </w:rPr>
            </w:pPr>
          </w:p>
        </w:tc>
      </w:tr>
      <w:tr w:rsidR="0014685D"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14685D" w:rsidRPr="0014685D" w:rsidRDefault="0014685D" w:rsidP="0014685D">
            <w:pPr>
              <w:numPr>
                <w:ilvl w:val="0"/>
                <w:numId w:val="14"/>
              </w:numPr>
              <w:rPr>
                <w:rFonts w:ascii="Arial Narrow" w:hAnsi="Arial Narrow"/>
                <w:bCs/>
                <w:sz w:val="16"/>
                <w:szCs w:val="16"/>
              </w:rPr>
            </w:pPr>
          </w:p>
        </w:tc>
        <w:tc>
          <w:tcPr>
            <w:tcW w:w="1018" w:type="pct"/>
          </w:tcPr>
          <w:p w:rsidR="0014685D" w:rsidRPr="0014685D" w:rsidRDefault="0014685D" w:rsidP="0014685D">
            <w:pPr>
              <w:rPr>
                <w:rFonts w:ascii="Arial Narrow" w:hAnsi="Arial Narrow"/>
                <w:sz w:val="16"/>
                <w:szCs w:val="16"/>
              </w:rPr>
            </w:pPr>
            <w:r w:rsidRPr="0014685D">
              <w:rPr>
                <w:rFonts w:ascii="Arial Narrow" w:hAnsi="Arial Narrow"/>
                <w:sz w:val="16"/>
                <w:szCs w:val="16"/>
              </w:rPr>
              <w:t>Karta sieciowa</w:t>
            </w:r>
          </w:p>
        </w:tc>
        <w:tc>
          <w:tcPr>
            <w:tcW w:w="2749" w:type="pct"/>
            <w:gridSpan w:val="2"/>
          </w:tcPr>
          <w:p w:rsidR="0014685D" w:rsidRPr="0014685D" w:rsidRDefault="0014685D" w:rsidP="0014685D">
            <w:pPr>
              <w:rPr>
                <w:rFonts w:ascii="Arial Narrow" w:hAnsi="Arial Narrow"/>
                <w:sz w:val="16"/>
                <w:szCs w:val="16"/>
              </w:rPr>
            </w:pPr>
            <w:r w:rsidRPr="0014685D">
              <w:rPr>
                <w:rFonts w:ascii="Arial Narrow" w:hAnsi="Arial Narrow"/>
                <w:sz w:val="16"/>
                <w:szCs w:val="16"/>
              </w:rPr>
              <w:t xml:space="preserve">Co najmniej 2*1Gb/s RJ45, 2*10Gb/s </w:t>
            </w:r>
            <w:r w:rsidR="004C6C22">
              <w:rPr>
                <w:rFonts w:ascii="Arial Narrow" w:hAnsi="Arial Narrow"/>
                <w:sz w:val="16"/>
                <w:szCs w:val="16"/>
              </w:rPr>
              <w:t xml:space="preserve">wolne </w:t>
            </w:r>
            <w:r w:rsidRPr="0014685D">
              <w:rPr>
                <w:rFonts w:ascii="Arial Narrow" w:hAnsi="Arial Narrow"/>
                <w:sz w:val="16"/>
                <w:szCs w:val="16"/>
              </w:rPr>
              <w:t>sloty typu SFP+</w:t>
            </w:r>
          </w:p>
        </w:tc>
        <w:tc>
          <w:tcPr>
            <w:tcW w:w="999" w:type="pct"/>
          </w:tcPr>
          <w:p w:rsidR="0014685D" w:rsidRPr="00924F62" w:rsidRDefault="0014685D" w:rsidP="0014685D">
            <w:pPr>
              <w:rPr>
                <w:rFonts w:ascii="Arial Narrow" w:hAnsi="Arial Narrow"/>
                <w:sz w:val="16"/>
                <w:szCs w:val="16"/>
              </w:rPr>
            </w:pPr>
          </w:p>
        </w:tc>
      </w:tr>
      <w:tr w:rsidR="0014685D"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14685D" w:rsidRPr="0014685D" w:rsidRDefault="0014685D" w:rsidP="0014685D">
            <w:pPr>
              <w:numPr>
                <w:ilvl w:val="0"/>
                <w:numId w:val="14"/>
              </w:numPr>
              <w:rPr>
                <w:rFonts w:ascii="Arial Narrow" w:hAnsi="Arial Narrow"/>
                <w:bCs/>
                <w:sz w:val="16"/>
                <w:szCs w:val="16"/>
              </w:rPr>
            </w:pPr>
          </w:p>
        </w:tc>
        <w:tc>
          <w:tcPr>
            <w:tcW w:w="1018" w:type="pct"/>
          </w:tcPr>
          <w:p w:rsidR="0014685D" w:rsidRPr="0014685D" w:rsidRDefault="0014685D" w:rsidP="0014685D">
            <w:pPr>
              <w:rPr>
                <w:rFonts w:ascii="Arial Narrow" w:hAnsi="Arial Narrow"/>
                <w:sz w:val="16"/>
                <w:szCs w:val="16"/>
              </w:rPr>
            </w:pPr>
            <w:r w:rsidRPr="0014685D">
              <w:rPr>
                <w:rFonts w:ascii="Arial Narrow" w:hAnsi="Arial Narrow"/>
                <w:sz w:val="16"/>
                <w:szCs w:val="16"/>
              </w:rPr>
              <w:t xml:space="preserve">Warunki gwarancji </w:t>
            </w:r>
          </w:p>
        </w:tc>
        <w:tc>
          <w:tcPr>
            <w:tcW w:w="2749" w:type="pct"/>
            <w:gridSpan w:val="2"/>
          </w:tcPr>
          <w:p w:rsidR="0014685D" w:rsidRPr="0014685D" w:rsidRDefault="0014685D" w:rsidP="0014685D">
            <w:pPr>
              <w:rPr>
                <w:rFonts w:ascii="Arial Narrow" w:hAnsi="Arial Narrow"/>
                <w:sz w:val="16"/>
                <w:szCs w:val="16"/>
              </w:rPr>
            </w:pPr>
            <w:r>
              <w:rPr>
                <w:rFonts w:ascii="Arial Narrow" w:hAnsi="Arial Narrow"/>
                <w:sz w:val="16"/>
                <w:szCs w:val="16"/>
              </w:rPr>
              <w:t>Min. 1</w:t>
            </w:r>
            <w:r w:rsidRPr="0014685D">
              <w:rPr>
                <w:rFonts w:ascii="Arial Narrow" w:hAnsi="Arial Narrow"/>
                <w:sz w:val="16"/>
                <w:szCs w:val="16"/>
              </w:rPr>
              <w:t>-roczna gwarancja liczona od daty dostawy. Podjęcie gwarancyjnych usług serwisowych - 3 dni robocze od przekazania zgłoszenia przez Zamawiającego (przyjmowanie zgłoszeń w dni robocze w godzinach 8.00 — 16.00)</w:t>
            </w:r>
          </w:p>
        </w:tc>
        <w:tc>
          <w:tcPr>
            <w:tcW w:w="999" w:type="pct"/>
          </w:tcPr>
          <w:p w:rsidR="0014685D" w:rsidRPr="00924F62" w:rsidRDefault="0014685D" w:rsidP="0014685D">
            <w:pPr>
              <w:rPr>
                <w:rFonts w:ascii="Arial Narrow" w:hAnsi="Arial Narrow"/>
                <w:sz w:val="16"/>
                <w:szCs w:val="16"/>
              </w:rPr>
            </w:pPr>
          </w:p>
        </w:tc>
      </w:tr>
      <w:tr w:rsidR="00924F62"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924F62" w:rsidRPr="00924F62" w:rsidRDefault="00924F62" w:rsidP="00924F62">
            <w:pPr>
              <w:numPr>
                <w:ilvl w:val="0"/>
                <w:numId w:val="14"/>
              </w:numPr>
              <w:rPr>
                <w:rFonts w:ascii="Arial Narrow" w:hAnsi="Arial Narrow"/>
                <w:bCs/>
                <w:sz w:val="16"/>
                <w:szCs w:val="16"/>
              </w:rPr>
            </w:pPr>
          </w:p>
        </w:tc>
        <w:tc>
          <w:tcPr>
            <w:tcW w:w="1018" w:type="pct"/>
          </w:tcPr>
          <w:p w:rsidR="00924F62" w:rsidRPr="00924F62" w:rsidRDefault="00924F62" w:rsidP="00924F62">
            <w:pPr>
              <w:rPr>
                <w:rFonts w:ascii="Arial Narrow" w:hAnsi="Arial Narrow"/>
                <w:sz w:val="16"/>
                <w:szCs w:val="16"/>
              </w:rPr>
            </w:pPr>
            <w:r w:rsidRPr="00924F62">
              <w:rPr>
                <w:rFonts w:ascii="Arial Narrow" w:hAnsi="Arial Narrow"/>
                <w:sz w:val="16"/>
                <w:szCs w:val="16"/>
              </w:rPr>
              <w:t>Wirtualizacja</w:t>
            </w:r>
          </w:p>
        </w:tc>
        <w:tc>
          <w:tcPr>
            <w:tcW w:w="2749" w:type="pct"/>
            <w:gridSpan w:val="2"/>
          </w:tcPr>
          <w:p w:rsidR="00924F62" w:rsidRPr="00924F62" w:rsidRDefault="00924F62" w:rsidP="00924F62">
            <w:pPr>
              <w:rPr>
                <w:rFonts w:ascii="Arial Narrow" w:hAnsi="Arial Narrow"/>
                <w:sz w:val="16"/>
                <w:szCs w:val="16"/>
              </w:rPr>
            </w:pPr>
            <w:r w:rsidRPr="00924F62">
              <w:rPr>
                <w:rFonts w:ascii="Arial Narrow" w:hAnsi="Arial Narrow"/>
                <w:sz w:val="16"/>
                <w:szCs w:val="16"/>
              </w:rPr>
              <w:t>Sprzętowe wsparcie technologii wirtualizacji realizowane łącznie w procesorze, chipsecie płyty głównej oraz w BIOS systemu (możliwość włączenia/wyłączenia sprzętowego wsparcia wirtualizacji).</w:t>
            </w:r>
          </w:p>
        </w:tc>
        <w:tc>
          <w:tcPr>
            <w:tcW w:w="999" w:type="pct"/>
          </w:tcPr>
          <w:p w:rsidR="00924F62" w:rsidRPr="00924F62" w:rsidRDefault="00924F62" w:rsidP="00924F62">
            <w:pPr>
              <w:rPr>
                <w:rFonts w:ascii="Arial Narrow" w:hAnsi="Arial Narrow"/>
                <w:sz w:val="16"/>
                <w:szCs w:val="16"/>
              </w:rPr>
            </w:pPr>
          </w:p>
        </w:tc>
      </w:tr>
    </w:tbl>
    <w:p w:rsidR="00310A61" w:rsidRPr="00943BC4" w:rsidRDefault="00310A61" w:rsidP="00310A61">
      <w:pPr>
        <w:jc w:val="both"/>
        <w:rPr>
          <w:rFonts w:ascii="Arial" w:hAnsi="Arial" w:cs="Arial"/>
        </w:rPr>
      </w:pPr>
    </w:p>
    <w:p w:rsidR="00D93028" w:rsidRDefault="00404D75" w:rsidP="00310A61">
      <w:pPr>
        <w:suppressAutoHyphens/>
        <w:spacing w:after="120"/>
        <w:ind w:left="360"/>
      </w:pPr>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2" w:history="1">
              <w:r w:rsidRPr="00E30465">
                <w:rPr>
                  <w:rStyle w:val="Hipercze"/>
                  <w:sz w:val="22"/>
                  <w:szCs w:val="22"/>
                </w:rPr>
                <w:t>http://www.cpubenchmark.net</w:t>
              </w:r>
            </w:hyperlink>
            <w:r w:rsidRPr="00E30465">
              <w:rPr>
                <w:rFonts w:ascii="Arial" w:hAnsi="Arial" w:cs="Arial"/>
                <w:sz w:val="22"/>
                <w:szCs w:val="22"/>
              </w:rPr>
              <w:t xml:space="preserve"> </w:t>
            </w:r>
          </w:p>
        </w:tc>
      </w:tr>
    </w:tbl>
    <w:p w:rsidR="004567BD" w:rsidRPr="00404D75" w:rsidRDefault="004567BD" w:rsidP="00294FB7">
      <w:pPr>
        <w:suppressAutoHyphens/>
        <w:jc w:val="right"/>
        <w:rPr>
          <w:rFonts w:ascii="Arial" w:hAnsi="Arial" w:cs="Arial"/>
          <w:i/>
          <w:sz w:val="20"/>
          <w:szCs w:val="20"/>
          <w:lang w:val="en-US"/>
        </w:rPr>
      </w:pPr>
      <w:bookmarkStart w:id="2" w:name="_GoBack"/>
      <w:bookmarkEnd w:id="2"/>
    </w:p>
    <w:sectPr w:rsidR="004567BD" w:rsidRPr="00404D75" w:rsidSect="00C22A5B">
      <w:footerReference w:type="default" r:id="rId13"/>
      <w:headerReference w:type="first" r:id="rId14"/>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EC4" w:rsidRDefault="00F15EC4">
      <w:r>
        <w:separator/>
      </w:r>
    </w:p>
  </w:endnote>
  <w:endnote w:type="continuationSeparator" w:id="0">
    <w:p w:rsidR="00F15EC4" w:rsidRDefault="00F1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C4" w:rsidRDefault="00F15EC4"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7975C2">
      <w:rPr>
        <w:rFonts w:ascii="Arial Narrow" w:hAnsi="Arial Narrow"/>
        <w:i/>
        <w:sz w:val="20"/>
        <w:szCs w:val="20"/>
        <w:lang w:val="pl-PL"/>
      </w:rPr>
      <w:t>1</w:t>
    </w:r>
    <w:r>
      <w:rPr>
        <w:rFonts w:ascii="Arial Narrow" w:hAnsi="Arial Narrow"/>
        <w:i/>
        <w:sz w:val="20"/>
        <w:szCs w:val="20"/>
      </w:rPr>
      <w:t>/</w:t>
    </w:r>
    <w:r>
      <w:rPr>
        <w:rFonts w:ascii="Arial Narrow" w:hAnsi="Arial Narrow"/>
        <w:i/>
        <w:sz w:val="20"/>
        <w:szCs w:val="20"/>
        <w:lang w:val="pl-PL"/>
      </w:rPr>
      <w:t>2</w:t>
    </w:r>
    <w:r w:rsidR="007975C2">
      <w:rPr>
        <w:rFonts w:ascii="Arial Narrow" w:hAnsi="Arial Narrow"/>
        <w:i/>
        <w:sz w:val="20"/>
        <w:szCs w:val="20"/>
        <w:lang w:val="pl-PL"/>
      </w:rPr>
      <w:t>3</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4C6C22">
      <w:rPr>
        <w:rStyle w:val="Numerstrony"/>
        <w:rFonts w:ascii="Arial Narrow" w:hAnsi="Arial Narrow"/>
        <w:i/>
        <w:noProof/>
        <w:sz w:val="20"/>
        <w:szCs w:val="20"/>
      </w:rPr>
      <w:t>31</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4C6C22">
      <w:rPr>
        <w:rStyle w:val="Numerstrony"/>
        <w:rFonts w:ascii="Arial Narrow" w:hAnsi="Arial Narrow"/>
        <w:i/>
        <w:noProof/>
        <w:sz w:val="20"/>
        <w:szCs w:val="20"/>
      </w:rPr>
      <w:t>31</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EC4" w:rsidRDefault="00F15EC4">
      <w:r>
        <w:separator/>
      </w:r>
    </w:p>
  </w:footnote>
  <w:footnote w:type="continuationSeparator" w:id="0">
    <w:p w:rsidR="00F15EC4" w:rsidRDefault="00F15EC4">
      <w:r>
        <w:continuationSeparator/>
      </w:r>
    </w:p>
  </w:footnote>
  <w:footnote w:id="1">
    <w:p w:rsidR="00F15EC4" w:rsidRPr="004A0F6E" w:rsidRDefault="00F15EC4"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F15EC4" w:rsidRPr="00D8052E" w:rsidTr="004567BD">
      <w:trPr>
        <w:trHeight w:val="930"/>
        <w:jc w:val="center"/>
      </w:trPr>
      <w:tc>
        <w:tcPr>
          <w:tcW w:w="2619" w:type="dxa"/>
          <w:vMerge w:val="restart"/>
          <w:vAlign w:val="center"/>
        </w:tcPr>
        <w:p w:rsidR="00F15EC4" w:rsidRPr="00D8052E" w:rsidRDefault="00F15EC4"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6pt;height:63.1pt;visibility:visible">
                <v:imagedata r:id="rId1" o:title="logo_19-03-2013_v2"/>
              </v:shape>
            </w:pict>
          </w:r>
        </w:p>
      </w:tc>
      <w:tc>
        <w:tcPr>
          <w:tcW w:w="5407" w:type="dxa"/>
        </w:tcPr>
        <w:p w:rsidR="00F15EC4" w:rsidRPr="00FE79B0" w:rsidRDefault="00F15EC4" w:rsidP="004567BD">
          <w:pPr>
            <w:rPr>
              <w:rFonts w:ascii="Calibri" w:hAnsi="Calibri"/>
              <w:b/>
              <w:color w:val="264796"/>
              <w:sz w:val="32"/>
              <w:szCs w:val="28"/>
            </w:rPr>
          </w:pPr>
          <w:r w:rsidRPr="00FE79B0">
            <w:rPr>
              <w:rFonts w:ascii="Calibri" w:hAnsi="Calibri"/>
              <w:b/>
              <w:color w:val="264796"/>
              <w:sz w:val="32"/>
              <w:szCs w:val="28"/>
            </w:rPr>
            <w:t>Instytut Badań Systemowych</w:t>
          </w:r>
        </w:p>
        <w:p w:rsidR="00F15EC4" w:rsidRPr="00FE79B0" w:rsidRDefault="00F15EC4" w:rsidP="004567BD">
          <w:pPr>
            <w:rPr>
              <w:rFonts w:ascii="Calibri" w:hAnsi="Calibri"/>
              <w:b/>
              <w:color w:val="264796"/>
              <w:sz w:val="32"/>
              <w:szCs w:val="28"/>
            </w:rPr>
          </w:pPr>
          <w:r w:rsidRPr="00FE79B0">
            <w:rPr>
              <w:rFonts w:ascii="Calibri" w:hAnsi="Calibri"/>
              <w:b/>
              <w:color w:val="264796"/>
              <w:sz w:val="32"/>
              <w:szCs w:val="28"/>
            </w:rPr>
            <w:t>Polskiej Akademii Nauk</w:t>
          </w:r>
        </w:p>
        <w:p w:rsidR="00F15EC4" w:rsidRPr="00D8052E" w:rsidRDefault="00F15EC4" w:rsidP="004567BD">
          <w:pPr>
            <w:rPr>
              <w:rFonts w:ascii="Calibri" w:hAnsi="Calibri"/>
              <w:b/>
              <w:sz w:val="16"/>
              <w:szCs w:val="16"/>
            </w:rPr>
          </w:pPr>
        </w:p>
        <w:p w:rsidR="00F15EC4" w:rsidRPr="00D8052E" w:rsidRDefault="00F15EC4" w:rsidP="004567BD">
          <w:pPr>
            <w:rPr>
              <w:rFonts w:ascii="Calibri" w:hAnsi="Calibri"/>
              <w:b/>
              <w:sz w:val="16"/>
              <w:szCs w:val="16"/>
            </w:rPr>
          </w:pPr>
        </w:p>
      </w:tc>
      <w:tc>
        <w:tcPr>
          <w:tcW w:w="956" w:type="dxa"/>
          <w:vMerge w:val="restart"/>
          <w:vAlign w:val="center"/>
        </w:tcPr>
        <w:p w:rsidR="00F15EC4" w:rsidRPr="00154B34" w:rsidRDefault="00F15EC4" w:rsidP="004567BD">
          <w:pPr>
            <w:rPr>
              <w:rFonts w:ascii="Calibri" w:hAnsi="Calibri"/>
              <w:sz w:val="20"/>
              <w:szCs w:val="18"/>
            </w:rPr>
          </w:pPr>
          <w:r w:rsidRPr="00154B34">
            <w:rPr>
              <w:rFonts w:ascii="Calibri" w:hAnsi="Calibri"/>
              <w:sz w:val="20"/>
              <w:szCs w:val="18"/>
            </w:rPr>
            <w:t xml:space="preserve">Centrala: </w:t>
          </w:r>
        </w:p>
        <w:p w:rsidR="00F15EC4" w:rsidRPr="00154B34" w:rsidRDefault="00F15EC4" w:rsidP="004567BD">
          <w:pPr>
            <w:rPr>
              <w:rFonts w:ascii="Calibri" w:hAnsi="Calibri"/>
              <w:sz w:val="20"/>
              <w:szCs w:val="18"/>
            </w:rPr>
          </w:pPr>
          <w:r w:rsidRPr="00154B34">
            <w:rPr>
              <w:rFonts w:ascii="Calibri" w:hAnsi="Calibri"/>
              <w:sz w:val="20"/>
              <w:szCs w:val="18"/>
            </w:rPr>
            <w:t>Dyrekcja:</w:t>
          </w:r>
        </w:p>
        <w:p w:rsidR="00F15EC4" w:rsidRPr="00154B34" w:rsidRDefault="00F15EC4" w:rsidP="004567BD">
          <w:pPr>
            <w:rPr>
              <w:rFonts w:ascii="Calibri" w:hAnsi="Calibri"/>
              <w:sz w:val="20"/>
              <w:szCs w:val="18"/>
            </w:rPr>
          </w:pPr>
          <w:r w:rsidRPr="00154B34">
            <w:rPr>
              <w:rFonts w:ascii="Calibri" w:hAnsi="Calibri"/>
              <w:sz w:val="20"/>
              <w:szCs w:val="18"/>
            </w:rPr>
            <w:t>Fax:</w:t>
          </w:r>
        </w:p>
        <w:p w:rsidR="00F15EC4" w:rsidRPr="00154B34" w:rsidRDefault="00F15EC4" w:rsidP="004567BD">
          <w:pPr>
            <w:rPr>
              <w:rFonts w:ascii="Calibri" w:hAnsi="Calibri"/>
              <w:sz w:val="20"/>
              <w:szCs w:val="18"/>
            </w:rPr>
          </w:pPr>
          <w:r w:rsidRPr="00154B34">
            <w:rPr>
              <w:rFonts w:ascii="Calibri" w:hAnsi="Calibri"/>
              <w:sz w:val="20"/>
              <w:szCs w:val="18"/>
            </w:rPr>
            <w:t>E-mail:</w:t>
          </w:r>
        </w:p>
        <w:p w:rsidR="00F15EC4" w:rsidRPr="00154B34" w:rsidRDefault="00F15EC4" w:rsidP="004567BD">
          <w:pPr>
            <w:rPr>
              <w:rFonts w:ascii="Calibri" w:hAnsi="Calibri"/>
              <w:sz w:val="20"/>
              <w:szCs w:val="18"/>
            </w:rPr>
          </w:pPr>
          <w:r w:rsidRPr="00154B34">
            <w:rPr>
              <w:rFonts w:ascii="Calibri" w:hAnsi="Calibri"/>
              <w:sz w:val="20"/>
              <w:szCs w:val="18"/>
            </w:rPr>
            <w:t>Web:</w:t>
          </w:r>
        </w:p>
        <w:p w:rsidR="00F15EC4" w:rsidRPr="00154B34" w:rsidRDefault="00F15EC4"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F15EC4" w:rsidRPr="00154B34" w:rsidRDefault="00F15EC4" w:rsidP="004567BD">
          <w:pPr>
            <w:jc w:val="right"/>
            <w:rPr>
              <w:rFonts w:ascii="Calibri" w:hAnsi="Calibri"/>
              <w:sz w:val="20"/>
              <w:szCs w:val="18"/>
            </w:rPr>
          </w:pPr>
          <w:r w:rsidRPr="00154B34">
            <w:rPr>
              <w:rFonts w:ascii="Calibri" w:hAnsi="Calibri"/>
              <w:sz w:val="20"/>
              <w:szCs w:val="18"/>
            </w:rPr>
            <w:t>22 38 10 100</w:t>
          </w:r>
        </w:p>
        <w:p w:rsidR="00F15EC4" w:rsidRPr="00154B34" w:rsidRDefault="00F15EC4" w:rsidP="004567BD">
          <w:pPr>
            <w:jc w:val="right"/>
            <w:rPr>
              <w:rFonts w:ascii="Calibri" w:hAnsi="Calibri"/>
              <w:sz w:val="20"/>
              <w:szCs w:val="18"/>
            </w:rPr>
          </w:pPr>
          <w:r w:rsidRPr="00154B34">
            <w:rPr>
              <w:rFonts w:ascii="Calibri" w:hAnsi="Calibri"/>
              <w:sz w:val="20"/>
              <w:szCs w:val="18"/>
            </w:rPr>
            <w:t>22 38 10 275</w:t>
          </w:r>
        </w:p>
        <w:p w:rsidR="00F15EC4" w:rsidRPr="00154B34" w:rsidRDefault="00F15EC4" w:rsidP="004567BD">
          <w:pPr>
            <w:jc w:val="right"/>
            <w:rPr>
              <w:rFonts w:ascii="Calibri" w:hAnsi="Calibri"/>
              <w:sz w:val="20"/>
              <w:szCs w:val="18"/>
            </w:rPr>
          </w:pPr>
          <w:r w:rsidRPr="00154B34">
            <w:rPr>
              <w:rFonts w:ascii="Calibri" w:hAnsi="Calibri"/>
              <w:sz w:val="20"/>
              <w:szCs w:val="18"/>
            </w:rPr>
            <w:t>22 38 10 105</w:t>
          </w:r>
        </w:p>
        <w:p w:rsidR="00F15EC4" w:rsidRPr="00154B34" w:rsidRDefault="00F15EC4" w:rsidP="004567BD">
          <w:pPr>
            <w:jc w:val="right"/>
            <w:rPr>
              <w:rFonts w:ascii="Calibri" w:hAnsi="Calibri"/>
              <w:sz w:val="20"/>
              <w:szCs w:val="18"/>
            </w:rPr>
          </w:pPr>
          <w:r w:rsidRPr="00154B34">
            <w:rPr>
              <w:rFonts w:ascii="Calibri" w:hAnsi="Calibri"/>
              <w:sz w:val="20"/>
              <w:szCs w:val="18"/>
            </w:rPr>
            <w:t>ibs@ibspan.waw.pl</w:t>
          </w:r>
        </w:p>
        <w:p w:rsidR="00F15EC4" w:rsidRPr="00154B34" w:rsidRDefault="00F15EC4" w:rsidP="004567BD">
          <w:pPr>
            <w:jc w:val="right"/>
            <w:rPr>
              <w:rFonts w:ascii="Calibri" w:hAnsi="Calibri"/>
              <w:sz w:val="20"/>
              <w:szCs w:val="18"/>
            </w:rPr>
          </w:pPr>
          <w:r w:rsidRPr="00154B34">
            <w:rPr>
              <w:rFonts w:ascii="Calibri" w:hAnsi="Calibri"/>
              <w:sz w:val="20"/>
              <w:szCs w:val="18"/>
            </w:rPr>
            <w:t>www.ibspan.waw.pl</w:t>
          </w:r>
        </w:p>
        <w:p w:rsidR="00F15EC4" w:rsidRPr="00154B34" w:rsidRDefault="00F15EC4" w:rsidP="004567BD">
          <w:pPr>
            <w:jc w:val="right"/>
            <w:rPr>
              <w:rFonts w:ascii="Calibri" w:hAnsi="Calibri"/>
              <w:sz w:val="20"/>
              <w:szCs w:val="18"/>
            </w:rPr>
          </w:pPr>
          <w:r w:rsidRPr="00154B34">
            <w:rPr>
              <w:rFonts w:ascii="Calibri" w:hAnsi="Calibri"/>
              <w:sz w:val="20"/>
              <w:szCs w:val="18"/>
            </w:rPr>
            <w:t>525 000 86 08</w:t>
          </w:r>
        </w:p>
      </w:tc>
    </w:tr>
    <w:tr w:rsidR="00F15EC4" w:rsidRPr="00D8052E" w:rsidTr="004567BD">
      <w:trPr>
        <w:trHeight w:val="394"/>
        <w:jc w:val="center"/>
      </w:trPr>
      <w:tc>
        <w:tcPr>
          <w:tcW w:w="2619" w:type="dxa"/>
          <w:vMerge/>
          <w:vAlign w:val="center"/>
        </w:tcPr>
        <w:p w:rsidR="00F15EC4" w:rsidRPr="00D8052E" w:rsidRDefault="00F15EC4" w:rsidP="004567BD">
          <w:pPr>
            <w:jc w:val="center"/>
            <w:rPr>
              <w:rFonts w:ascii="Calibri" w:hAnsi="Calibri"/>
              <w:sz w:val="16"/>
              <w:szCs w:val="16"/>
            </w:rPr>
          </w:pPr>
        </w:p>
      </w:tc>
      <w:tc>
        <w:tcPr>
          <w:tcW w:w="5407" w:type="dxa"/>
          <w:vAlign w:val="bottom"/>
        </w:tcPr>
        <w:p w:rsidR="00F15EC4" w:rsidRPr="00D8052E" w:rsidRDefault="00F15EC4"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F15EC4" w:rsidRPr="00D8052E" w:rsidRDefault="00F15EC4" w:rsidP="004567BD">
          <w:pPr>
            <w:jc w:val="center"/>
            <w:rPr>
              <w:rFonts w:ascii="Calibri" w:hAnsi="Calibri"/>
              <w:sz w:val="16"/>
              <w:szCs w:val="16"/>
            </w:rPr>
          </w:pPr>
        </w:p>
      </w:tc>
      <w:tc>
        <w:tcPr>
          <w:tcW w:w="1700" w:type="dxa"/>
          <w:vMerge/>
          <w:vAlign w:val="center"/>
        </w:tcPr>
        <w:p w:rsidR="00F15EC4" w:rsidRPr="00D8052E" w:rsidRDefault="00F15EC4" w:rsidP="004567BD">
          <w:pPr>
            <w:jc w:val="center"/>
            <w:rPr>
              <w:rFonts w:ascii="Calibri" w:hAnsi="Calibri"/>
              <w:sz w:val="16"/>
              <w:szCs w:val="16"/>
            </w:rPr>
          </w:pPr>
        </w:p>
      </w:tc>
    </w:tr>
    <w:tr w:rsidR="00F15EC4" w:rsidRPr="00D8052E" w:rsidTr="004567BD">
      <w:trPr>
        <w:trHeight w:val="80"/>
        <w:jc w:val="center"/>
      </w:trPr>
      <w:tc>
        <w:tcPr>
          <w:tcW w:w="10682" w:type="dxa"/>
          <w:gridSpan w:val="4"/>
          <w:tcBorders>
            <w:bottom w:val="single" w:sz="18" w:space="0" w:color="004CCC"/>
          </w:tcBorders>
          <w:vAlign w:val="center"/>
        </w:tcPr>
        <w:p w:rsidR="00F15EC4" w:rsidRPr="00D8052E" w:rsidRDefault="00F15EC4" w:rsidP="004567BD">
          <w:pPr>
            <w:rPr>
              <w:rFonts w:ascii="Calibri" w:hAnsi="Calibri"/>
              <w:sz w:val="16"/>
              <w:szCs w:val="16"/>
            </w:rPr>
          </w:pPr>
        </w:p>
      </w:tc>
    </w:tr>
  </w:tbl>
  <w:p w:rsidR="00F15EC4" w:rsidRDefault="00F15EC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DD244A"/>
    <w:multiLevelType w:val="hybridMultilevel"/>
    <w:tmpl w:val="BF3846E2"/>
    <w:lvl w:ilvl="0" w:tplc="0F66FB04">
      <w:start w:val="1"/>
      <w:numFmt w:val="decimal"/>
      <w:lvlText w:val="%1."/>
      <w:lvlJc w:val="left"/>
      <w:pPr>
        <w:ind w:left="1440" w:hanging="360"/>
      </w:pPr>
      <w:rPr>
        <w:rFonts w:ascii="Bookman Old Style" w:eastAsia="Times New Roman" w:hAnsi="Bookman Old Style"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440D70"/>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5"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3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7E7180"/>
    <w:multiLevelType w:val="hybridMultilevel"/>
    <w:tmpl w:val="F4CA9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8"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2"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3"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F935F95"/>
    <w:multiLevelType w:val="hybridMultilevel"/>
    <w:tmpl w:val="DF50A18C"/>
    <w:lvl w:ilvl="0" w:tplc="1F44E96E">
      <w:start w:val="15"/>
      <w:numFmt w:val="decimal"/>
      <w:lvlText w:val="%1."/>
      <w:lvlJc w:val="left"/>
      <w:pPr>
        <w:tabs>
          <w:tab w:val="num" w:pos="1080"/>
        </w:tabs>
        <w:ind w:left="1080" w:hanging="1080"/>
      </w:pPr>
      <w:rPr>
        <w:rFonts w:hint="default"/>
        <w:i w:val="0"/>
      </w:rPr>
    </w:lvl>
    <w:lvl w:ilvl="1" w:tplc="0F66FB04">
      <w:start w:val="1"/>
      <w:numFmt w:val="decimal"/>
      <w:lvlText w:val="%2."/>
      <w:lvlJc w:val="left"/>
      <w:pPr>
        <w:ind w:left="1440" w:hanging="360"/>
      </w:pPr>
      <w:rPr>
        <w:rFonts w:ascii="Bookman Old Style" w:eastAsia="Times New Roman" w:hAnsi="Bookman Old Style"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1"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54" w15:restartNumberingAfterBreak="0">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2"/>
  </w:num>
  <w:num w:numId="3">
    <w:abstractNumId w:val="40"/>
  </w:num>
  <w:num w:numId="4">
    <w:abstractNumId w:val="41"/>
  </w:num>
  <w:num w:numId="5">
    <w:abstractNumId w:val="37"/>
  </w:num>
  <w:num w:numId="6">
    <w:abstractNumId w:val="46"/>
    <w:lvlOverride w:ilvl="0">
      <w:startOverride w:val="1"/>
    </w:lvlOverride>
  </w:num>
  <w:num w:numId="7">
    <w:abstractNumId w:val="34"/>
    <w:lvlOverride w:ilvl="0">
      <w:startOverride w:val="1"/>
    </w:lvlOverride>
  </w:num>
  <w:num w:numId="8">
    <w:abstractNumId w:val="18"/>
  </w:num>
  <w:num w:numId="9">
    <w:abstractNumId w:val="55"/>
  </w:num>
  <w:num w:numId="10">
    <w:abstractNumId w:val="9"/>
  </w:num>
  <w:num w:numId="11">
    <w:abstractNumId w:val="35"/>
  </w:num>
  <w:num w:numId="12">
    <w:abstractNumId w:val="29"/>
  </w:num>
  <w:num w:numId="13">
    <w:abstractNumId w:val="45"/>
    <w:lvlOverride w:ilvl="0">
      <w:startOverride w:val="1"/>
    </w:lvlOverride>
  </w:num>
  <w:num w:numId="14">
    <w:abstractNumId w:val="36"/>
  </w:num>
  <w:num w:numId="15">
    <w:abstractNumId w:val="48"/>
  </w:num>
  <w:num w:numId="16">
    <w:abstractNumId w:val="53"/>
  </w:num>
  <w:num w:numId="17">
    <w:abstractNumId w:val="38"/>
  </w:num>
  <w:num w:numId="18">
    <w:abstractNumId w:val="30"/>
  </w:num>
  <w:num w:numId="19">
    <w:abstractNumId w:val="25"/>
  </w:num>
  <w:num w:numId="20">
    <w:abstractNumId w:val="15"/>
  </w:num>
  <w:num w:numId="21">
    <w:abstractNumId w:val="3"/>
  </w:num>
  <w:num w:numId="22">
    <w:abstractNumId w:val="4"/>
  </w:num>
  <w:num w:numId="23">
    <w:abstractNumId w:val="31"/>
  </w:num>
  <w:num w:numId="24">
    <w:abstractNumId w:val="14"/>
  </w:num>
  <w:num w:numId="25">
    <w:abstractNumId w:val="2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51"/>
  </w:num>
  <w:num w:numId="28">
    <w:abstractNumId w:val="39"/>
  </w:num>
  <w:num w:numId="29">
    <w:abstractNumId w:val="4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19"/>
  </w:num>
  <w:num w:numId="33">
    <w:abstractNumId w:val="11"/>
  </w:num>
  <w:num w:numId="34">
    <w:abstractNumId w:val="7"/>
  </w:num>
  <w:num w:numId="35">
    <w:abstractNumId w:val="10"/>
  </w:num>
  <w:num w:numId="36">
    <w:abstractNumId w:val="20"/>
  </w:num>
  <w:num w:numId="37">
    <w:abstractNumId w:val="17"/>
  </w:num>
  <w:num w:numId="38">
    <w:abstractNumId w:val="23"/>
  </w:num>
  <w:num w:numId="39">
    <w:abstractNumId w:val="26"/>
  </w:num>
  <w:num w:numId="40">
    <w:abstractNumId w:val="2"/>
  </w:num>
  <w:num w:numId="41">
    <w:abstractNumId w:val="2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2"/>
  </w:num>
  <w:num w:numId="52">
    <w:abstractNumId w:val="5"/>
  </w:num>
  <w:num w:numId="53">
    <w:abstractNumId w:val="57"/>
  </w:num>
  <w:num w:numId="54">
    <w:abstractNumId w:val="54"/>
  </w:num>
  <w:num w:numId="55">
    <w:abstractNumId w:val="47"/>
  </w:num>
  <w:num w:numId="56">
    <w:abstractNumId w:val="8"/>
  </w:num>
  <w:num w:numId="57">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5"/>
  <w:doNotTrackMoves/>
  <w:defaultTabStop w:val="709"/>
  <w:hyphenationZone w:val="425"/>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85D"/>
    <w:rsid w:val="00146C67"/>
    <w:rsid w:val="00155456"/>
    <w:rsid w:val="001A2827"/>
    <w:rsid w:val="001B469F"/>
    <w:rsid w:val="001C528D"/>
    <w:rsid w:val="001D216B"/>
    <w:rsid w:val="001D729B"/>
    <w:rsid w:val="001F2E39"/>
    <w:rsid w:val="001F3C42"/>
    <w:rsid w:val="001F7793"/>
    <w:rsid w:val="00206F9E"/>
    <w:rsid w:val="0022522C"/>
    <w:rsid w:val="00245886"/>
    <w:rsid w:val="00262A18"/>
    <w:rsid w:val="00262D84"/>
    <w:rsid w:val="0026384F"/>
    <w:rsid w:val="00267146"/>
    <w:rsid w:val="00270EDD"/>
    <w:rsid w:val="00273A17"/>
    <w:rsid w:val="00273C7E"/>
    <w:rsid w:val="00277E11"/>
    <w:rsid w:val="00291082"/>
    <w:rsid w:val="00294FB7"/>
    <w:rsid w:val="002A71F4"/>
    <w:rsid w:val="002A7322"/>
    <w:rsid w:val="002B77E7"/>
    <w:rsid w:val="002B7A2D"/>
    <w:rsid w:val="002D1EB9"/>
    <w:rsid w:val="002F114B"/>
    <w:rsid w:val="002F696C"/>
    <w:rsid w:val="00310A61"/>
    <w:rsid w:val="003149A2"/>
    <w:rsid w:val="00331F17"/>
    <w:rsid w:val="0033692E"/>
    <w:rsid w:val="00344CD0"/>
    <w:rsid w:val="00361D75"/>
    <w:rsid w:val="00367727"/>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13BB2"/>
    <w:rsid w:val="004202FC"/>
    <w:rsid w:val="004203C2"/>
    <w:rsid w:val="00425A85"/>
    <w:rsid w:val="0042671D"/>
    <w:rsid w:val="004402EF"/>
    <w:rsid w:val="004504A7"/>
    <w:rsid w:val="00453E73"/>
    <w:rsid w:val="004567BD"/>
    <w:rsid w:val="00470270"/>
    <w:rsid w:val="00475E6D"/>
    <w:rsid w:val="004A3C3C"/>
    <w:rsid w:val="004B70EA"/>
    <w:rsid w:val="004C6C22"/>
    <w:rsid w:val="004F1CBE"/>
    <w:rsid w:val="004F3668"/>
    <w:rsid w:val="005057E7"/>
    <w:rsid w:val="0050688E"/>
    <w:rsid w:val="00520C2D"/>
    <w:rsid w:val="005302C3"/>
    <w:rsid w:val="00544C00"/>
    <w:rsid w:val="00551764"/>
    <w:rsid w:val="005522D4"/>
    <w:rsid w:val="005970EC"/>
    <w:rsid w:val="005A537C"/>
    <w:rsid w:val="005B618F"/>
    <w:rsid w:val="005F7227"/>
    <w:rsid w:val="0060400C"/>
    <w:rsid w:val="00631C46"/>
    <w:rsid w:val="0063278D"/>
    <w:rsid w:val="00632ACE"/>
    <w:rsid w:val="00635275"/>
    <w:rsid w:val="00643D7C"/>
    <w:rsid w:val="00653EA9"/>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975C2"/>
    <w:rsid w:val="007A1557"/>
    <w:rsid w:val="007A464C"/>
    <w:rsid w:val="007A7F79"/>
    <w:rsid w:val="007B4ACF"/>
    <w:rsid w:val="007D5FBB"/>
    <w:rsid w:val="007E4FE5"/>
    <w:rsid w:val="00805F0E"/>
    <w:rsid w:val="00807C3A"/>
    <w:rsid w:val="00814D43"/>
    <w:rsid w:val="0084780D"/>
    <w:rsid w:val="00847D47"/>
    <w:rsid w:val="00863352"/>
    <w:rsid w:val="008656DD"/>
    <w:rsid w:val="00876935"/>
    <w:rsid w:val="0088054D"/>
    <w:rsid w:val="00881D30"/>
    <w:rsid w:val="00891288"/>
    <w:rsid w:val="00895308"/>
    <w:rsid w:val="008A11FA"/>
    <w:rsid w:val="008A5C5A"/>
    <w:rsid w:val="008C480C"/>
    <w:rsid w:val="008C77E2"/>
    <w:rsid w:val="008D3664"/>
    <w:rsid w:val="008E5E03"/>
    <w:rsid w:val="008E7310"/>
    <w:rsid w:val="00910F8B"/>
    <w:rsid w:val="00911202"/>
    <w:rsid w:val="00912BD8"/>
    <w:rsid w:val="00924F62"/>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A2527"/>
    <w:rsid w:val="00AB1092"/>
    <w:rsid w:val="00AB63F9"/>
    <w:rsid w:val="00AC3130"/>
    <w:rsid w:val="00AD0136"/>
    <w:rsid w:val="00AF06BE"/>
    <w:rsid w:val="00AF1DA3"/>
    <w:rsid w:val="00B05D34"/>
    <w:rsid w:val="00B06158"/>
    <w:rsid w:val="00B06FA2"/>
    <w:rsid w:val="00B1455B"/>
    <w:rsid w:val="00B204CB"/>
    <w:rsid w:val="00B217F2"/>
    <w:rsid w:val="00B26A37"/>
    <w:rsid w:val="00B32E8A"/>
    <w:rsid w:val="00B41C7F"/>
    <w:rsid w:val="00B42BE9"/>
    <w:rsid w:val="00B5228E"/>
    <w:rsid w:val="00B708C4"/>
    <w:rsid w:val="00B7103F"/>
    <w:rsid w:val="00B77D55"/>
    <w:rsid w:val="00B96859"/>
    <w:rsid w:val="00B96B4F"/>
    <w:rsid w:val="00BA1EB4"/>
    <w:rsid w:val="00BD76C6"/>
    <w:rsid w:val="00BD7F1C"/>
    <w:rsid w:val="00BE39CE"/>
    <w:rsid w:val="00BF7A8C"/>
    <w:rsid w:val="00C117A7"/>
    <w:rsid w:val="00C20CC2"/>
    <w:rsid w:val="00C22A5B"/>
    <w:rsid w:val="00C23CDC"/>
    <w:rsid w:val="00C27ADC"/>
    <w:rsid w:val="00C504EC"/>
    <w:rsid w:val="00C52E42"/>
    <w:rsid w:val="00C60E44"/>
    <w:rsid w:val="00C8508D"/>
    <w:rsid w:val="00C91843"/>
    <w:rsid w:val="00C94C41"/>
    <w:rsid w:val="00CA02F6"/>
    <w:rsid w:val="00CA5BFC"/>
    <w:rsid w:val="00CA6ADF"/>
    <w:rsid w:val="00CC2222"/>
    <w:rsid w:val="00CC7ECC"/>
    <w:rsid w:val="00CD072E"/>
    <w:rsid w:val="00CE21BE"/>
    <w:rsid w:val="00CE3032"/>
    <w:rsid w:val="00CE69D2"/>
    <w:rsid w:val="00D361B2"/>
    <w:rsid w:val="00D43EDD"/>
    <w:rsid w:val="00D52D01"/>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023EF"/>
    <w:rsid w:val="00F10F4F"/>
    <w:rsid w:val="00F15EC4"/>
    <w:rsid w:val="00F24528"/>
    <w:rsid w:val="00F31142"/>
    <w:rsid w:val="00F31698"/>
    <w:rsid w:val="00F416DE"/>
    <w:rsid w:val="00F60588"/>
    <w:rsid w:val="00F60EFF"/>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14:docId w14:val="11991335"/>
  <w15:chartTrackingRefBased/>
  <w15:docId w15:val="{BD3D10CE-D83E-437A-A1E2-1115D477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 w:id="1750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E8FA-A72D-43DE-BFD3-86A87243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31</Pages>
  <Words>11026</Words>
  <Characters>66157</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77029</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dc:description/>
  <cp:lastModifiedBy>Bartłomiej Solarz-Niesłuchowski</cp:lastModifiedBy>
  <cp:revision>8</cp:revision>
  <cp:lastPrinted>2021-12-14T18:58:00Z</cp:lastPrinted>
  <dcterms:created xsi:type="dcterms:W3CDTF">2022-07-22T06:55:00Z</dcterms:created>
  <dcterms:modified xsi:type="dcterms:W3CDTF">2023-08-23T20:35:00Z</dcterms:modified>
</cp:coreProperties>
</file>