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C27ADC">
        <w:rPr>
          <w:rFonts w:ascii="Arial" w:hAnsi="Arial" w:cs="Arial"/>
          <w:noProof/>
          <w:sz w:val="22"/>
          <w:szCs w:val="22"/>
        </w:rPr>
        <w:t>4 maja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413BB2">
        <w:rPr>
          <w:rFonts w:ascii="Arial" w:hAnsi="Arial" w:cs="Arial"/>
          <w:b/>
          <w:sz w:val="22"/>
          <w:szCs w:val="22"/>
        </w:rPr>
        <w:t>F1-208-02/22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bookmarkStart w:id="0" w:name="_GoBack"/>
      <w:bookmarkEnd w:id="0"/>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w:t>
      </w:r>
      <w:r w:rsidRPr="00CD072E">
        <w:rPr>
          <w:rFonts w:ascii="Arial" w:hAnsi="Arial" w:cs="Arial"/>
          <w:noProof w:val="0"/>
          <w:szCs w:val="24"/>
        </w:rPr>
        <w:lastRenderedPageBreak/>
        <w:t xml:space="preserve">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C27ADC"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6.5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9B5A1A" w:rsidRDefault="00413BB2" w:rsidP="005F7227">
      <w:pPr>
        <w:jc w:val="both"/>
      </w:pPr>
      <w:r>
        <w:t>b</w:t>
      </w:r>
      <w:r w:rsidR="005F7227">
        <w:t>.</w:t>
      </w:r>
      <w:r w:rsidR="005F7227">
        <w:tab/>
      </w:r>
      <w:r w:rsidR="009B5A1A">
        <w:t>Komputer przenośny typu E (1 sztuka)</w:t>
      </w:r>
    </w:p>
    <w:p w:rsidR="006E2675" w:rsidRPr="00C23CDC" w:rsidRDefault="00413BB2" w:rsidP="006E2675">
      <w:pPr>
        <w:jc w:val="both"/>
      </w:pPr>
      <w:r>
        <w:t>c</w:t>
      </w:r>
      <w:r w:rsidR="009269B4">
        <w:t>.</w:t>
      </w:r>
      <w:r w:rsidR="009269B4">
        <w:tab/>
      </w:r>
      <w:r w:rsidR="00146C67">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6E2675" w:rsidRDefault="006E2675" w:rsidP="005F7227">
      <w:pPr>
        <w:jc w:val="both"/>
      </w:pPr>
      <w:r w:rsidRPr="006E2675">
        <w:t>48822000-6</w:t>
      </w:r>
      <w:r>
        <w:t xml:space="preserve"> </w:t>
      </w:r>
      <w:r w:rsidRPr="006E2675">
        <w:t>Serwery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lastRenderedPageBreak/>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413BB2">
        <w:t>30</w:t>
      </w:r>
      <w:r>
        <w:t>.</w:t>
      </w:r>
      <w:r w:rsidR="003B0FC1">
        <w:t>0</w:t>
      </w:r>
      <w:r w:rsidR="00413BB2">
        <w:t>6</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w:t>
      </w:r>
      <w:r w:rsidRPr="0024634D">
        <w:lastRenderedPageBreak/>
        <w:t xml:space="preserve">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r>
      <w:r w:rsidRPr="0024634D">
        <w:lastRenderedPageBreak/>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w:t>
      </w:r>
      <w:r w:rsidRPr="0024634D">
        <w:lastRenderedPageBreak/>
        <w:t xml:space="preserve">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lastRenderedPageBreak/>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 xml:space="preserve">Podwykonawców składane są w oryginale w formie elektronicznej (tj. opatrzonej kwalifikowanym podpisem elektronicznym) lub w postaci elektronicznej opatrzonej podpisem zaufanym lub podpisem osobistym przez osoby </w:t>
      </w:r>
      <w:r w:rsidRPr="0024634D">
        <w:lastRenderedPageBreak/>
        <w:t>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https://ezamowienia.gov.pl/</w:t>
      </w:r>
      <w:r w:rsidR="00B06FA2" w:rsidRPr="0024634D">
        <w:t xml:space="preserve">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 xml:space="preserve">6) Zamawiający dopuszcza również możliwość komunikacji z Wykonawcami za pomocą poczty </w:t>
      </w:r>
      <w:r w:rsidRPr="0024634D">
        <w:lastRenderedPageBreak/>
        <w:t>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lastRenderedPageBreak/>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w:t>
      </w:r>
      <w:r w:rsidR="00B06FA2">
        <w:t>ezamowienia</w:t>
      </w:r>
      <w:r w:rsidR="00F80DBD">
        <w:t>.gov.pl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r>
      <w:r w:rsidRPr="0024634D">
        <w:lastRenderedPageBreak/>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r>
      <w:r w:rsidRPr="0024634D">
        <w:lastRenderedPageBreak/>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lastRenderedPageBreak/>
        <w:t xml:space="preserve">1. Oferty należy składać do dnia: </w:t>
      </w:r>
      <w:r>
        <w:t>202</w:t>
      </w:r>
      <w:r w:rsidR="000B4562">
        <w:t>2</w:t>
      </w:r>
      <w:r>
        <w:t>.</w:t>
      </w:r>
      <w:r w:rsidR="000B4562">
        <w:t>0</w:t>
      </w:r>
      <w:r w:rsidR="00413BB2">
        <w:t>5</w:t>
      </w:r>
      <w:r w:rsidR="004402EF">
        <w:t>.</w:t>
      </w:r>
      <w:r w:rsidR="00B06FA2">
        <w:t>12</w:t>
      </w:r>
      <w:r w:rsidRPr="0024634D">
        <w:t xml:space="preserve"> do godz. </w:t>
      </w:r>
      <w:r>
        <w:t>1</w:t>
      </w:r>
      <w:r w:rsidR="000B4562">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w:t>
      </w:r>
      <w:r w:rsidR="000B4562">
        <w:t>2</w:t>
      </w:r>
      <w:r w:rsidR="00B77D55">
        <w:t>.</w:t>
      </w:r>
      <w:r w:rsidR="000B4562">
        <w:t>0</w:t>
      </w:r>
      <w:r w:rsidR="00413BB2">
        <w:t>5</w:t>
      </w:r>
      <w:r w:rsidR="004402EF">
        <w:t>.</w:t>
      </w:r>
      <w:r w:rsidR="00B06FA2">
        <w:t>12</w:t>
      </w:r>
      <w:r w:rsidRPr="0024634D">
        <w:t xml:space="preserve">, o godz. </w:t>
      </w:r>
      <w:r>
        <w:t>1</w:t>
      </w:r>
      <w:r w:rsidR="000B4562">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lastRenderedPageBreak/>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413BB2">
        <w:rPr>
          <w:rFonts w:ascii="Arial" w:hAnsi="Arial" w:cs="Arial"/>
          <w:b/>
        </w:rPr>
        <w:t>F1-208-02/22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707"/>
        <w:gridCol w:w="1929"/>
        <w:gridCol w:w="661"/>
      </w:tblGrid>
      <w:tr w:rsidR="00CE69D2" w:rsidRPr="00A75A8C" w:rsidTr="000B4562">
        <w:trPr>
          <w:cantSplit/>
          <w:tblHeader/>
        </w:trPr>
        <w:tc>
          <w:tcPr>
            <w:tcW w:w="661"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F31142">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0B4562">
        <w:trPr>
          <w:cantSplit/>
        </w:trPr>
        <w:tc>
          <w:tcPr>
            <w:tcW w:w="661" w:type="dxa"/>
          </w:tcPr>
          <w:p w:rsidR="008E7310" w:rsidRPr="008E7310" w:rsidRDefault="00413BB2"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Komputer przenośny typu A (1 sztuka)</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413BB2" w:rsidP="003A52D1">
            <w:pPr>
              <w:rPr>
                <w:rFonts w:ascii="Arial" w:hAnsi="Arial" w:cs="Arial"/>
                <w:sz w:val="16"/>
                <w:szCs w:val="16"/>
              </w:rPr>
            </w:pPr>
            <w:r>
              <w:rPr>
                <w:rFonts w:ascii="Arial" w:hAnsi="Arial" w:cs="Arial"/>
                <w:sz w:val="16"/>
                <w:szCs w:val="16"/>
              </w:rPr>
              <w:t>2</w:t>
            </w:r>
          </w:p>
        </w:tc>
        <w:tc>
          <w:tcPr>
            <w:tcW w:w="3829" w:type="dxa"/>
          </w:tcPr>
          <w:p w:rsidR="003A52D1" w:rsidRPr="008E7310" w:rsidRDefault="003A52D1" w:rsidP="003A52D1">
            <w:pPr>
              <w:rPr>
                <w:rFonts w:ascii="Arial" w:hAnsi="Arial" w:cs="Arial"/>
                <w:sz w:val="16"/>
                <w:szCs w:val="16"/>
              </w:rPr>
            </w:pPr>
            <w:r w:rsidRPr="005F7227">
              <w:rPr>
                <w:rFonts w:ascii="Arial" w:hAnsi="Arial" w:cs="Arial"/>
                <w:sz w:val="16"/>
                <w:szCs w:val="16"/>
              </w:rPr>
              <w:t>Kompu</w:t>
            </w:r>
            <w:r>
              <w:rPr>
                <w:rFonts w:ascii="Arial" w:hAnsi="Arial" w:cs="Arial"/>
                <w:sz w:val="16"/>
                <w:szCs w:val="16"/>
              </w:rPr>
              <w:t>ter przenośny typu E (1 sztuka)</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413BB2" w:rsidP="00847D47">
            <w:pPr>
              <w:rPr>
                <w:rFonts w:ascii="Arial" w:hAnsi="Arial" w:cs="Arial"/>
                <w:sz w:val="16"/>
                <w:szCs w:val="16"/>
              </w:rPr>
            </w:pPr>
            <w:r>
              <w:rPr>
                <w:rFonts w:ascii="Arial" w:hAnsi="Arial" w:cs="Arial"/>
                <w:sz w:val="16"/>
                <w:szCs w:val="16"/>
              </w:rPr>
              <w:t>3</w:t>
            </w:r>
          </w:p>
        </w:tc>
        <w:tc>
          <w:tcPr>
            <w:tcW w:w="3829" w:type="dxa"/>
          </w:tcPr>
          <w:p w:rsidR="006E2675" w:rsidRPr="006E2675" w:rsidRDefault="006E2675" w:rsidP="006E2675">
            <w:pPr>
              <w:rPr>
                <w:rFonts w:ascii="Arial" w:hAnsi="Arial" w:cs="Arial"/>
                <w:sz w:val="16"/>
                <w:szCs w:val="16"/>
              </w:rPr>
            </w:pPr>
            <w:r w:rsidRPr="006E2675">
              <w:rPr>
                <w:rFonts w:ascii="Arial" w:hAnsi="Arial" w:cs="Arial"/>
                <w:sz w:val="16"/>
                <w:szCs w:val="16"/>
              </w:rPr>
              <w:t>Serwer typu I (1 szt</w:t>
            </w:r>
            <w:r>
              <w:rPr>
                <w:rFonts w:ascii="Arial" w:hAnsi="Arial" w:cs="Arial"/>
                <w:sz w:val="16"/>
                <w:szCs w:val="16"/>
              </w:rPr>
              <w:t>uka), macierz typu J (1 sztuka)</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bl>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 xml:space="preserve">Obowiązek informowania Zamawiającego przez Wykonawcę o możliwości powstania obowiązku podatkowego po stronie Zamawiającego wynika z art. 91 ust. 3a ustawy – Prawo zamówień </w:t>
      </w:r>
      <w:r w:rsidRPr="008434A0">
        <w:rPr>
          <w:rFonts w:ascii="Arial" w:hAnsi="Arial" w:cs="Arial"/>
          <w:i/>
          <w:sz w:val="20"/>
          <w:szCs w:val="20"/>
        </w:rPr>
        <w:lastRenderedPageBreak/>
        <w:t>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lastRenderedPageBreak/>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lastRenderedPageBreak/>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413BB2">
        <w:rPr>
          <w:sz w:val="22"/>
          <w:szCs w:val="22"/>
        </w:rPr>
        <w:t>F1-208-02/22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413BB2">
        <w:t>F1-208-02/22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0B4562">
      <w:pPr>
        <w:ind w:left="720"/>
        <w:jc w:val="both"/>
        <w:rPr>
          <w:rFonts w:ascii="Arial" w:hAnsi="Arial" w:cs="Arial"/>
          <w:spacing w:val="-1"/>
          <w:lang w:eastAsia="zh-CN"/>
        </w:rPr>
      </w:pPr>
      <w:r>
        <w:rPr>
          <w:rFonts w:ascii="Arial" w:hAnsi="Arial" w:cs="Arial"/>
        </w:rPr>
        <w:t>Cz</w:t>
      </w:r>
      <w:r w:rsidR="000B4562">
        <w:rPr>
          <w:rFonts w:ascii="Arial" w:hAnsi="Arial" w:cs="Arial"/>
        </w:rPr>
        <w:t>ę</w:t>
      </w:r>
      <w:r>
        <w:rPr>
          <w:rFonts w:ascii="Arial" w:hAnsi="Arial" w:cs="Arial"/>
        </w:rPr>
        <w:t xml:space="preserve">ść </w:t>
      </w:r>
      <w:r w:rsidR="00413BB2">
        <w:rPr>
          <w:rFonts w:ascii="Arial" w:hAnsi="Arial" w:cs="Arial"/>
        </w:rPr>
        <w:t>1</w:t>
      </w:r>
      <w:r>
        <w:rPr>
          <w:rFonts w:ascii="Arial" w:hAnsi="Arial" w:cs="Arial"/>
        </w:rPr>
        <w:t xml:space="preserve"> </w:t>
      </w:r>
      <w:r w:rsidRPr="00030456">
        <w:rPr>
          <w:rFonts w:ascii="Arial" w:hAnsi="Arial" w:cs="Arial"/>
        </w:rPr>
        <w:t>komputer przenośn</w:t>
      </w:r>
      <w:r w:rsidR="00847D47">
        <w:rPr>
          <w:rFonts w:ascii="Arial" w:hAnsi="Arial" w:cs="Arial"/>
        </w:rPr>
        <w:t>y</w:t>
      </w:r>
      <w:r w:rsidRPr="00030456">
        <w:rPr>
          <w:rFonts w:ascii="Arial" w:hAnsi="Arial" w:cs="Arial"/>
        </w:rPr>
        <w:t xml:space="preserve"> typu A </w:t>
      </w:r>
      <w:r>
        <w:rPr>
          <w:rFonts w:ascii="Arial" w:hAnsi="Arial" w:cs="Arial"/>
        </w:rPr>
        <w:t>(</w:t>
      </w:r>
      <w:r w:rsidR="005522D4">
        <w:rPr>
          <w:rFonts w:ascii="Arial" w:hAnsi="Arial" w:cs="Arial"/>
        </w:rPr>
        <w:t>1</w:t>
      </w:r>
      <w:r w:rsidR="000B4562">
        <w:rPr>
          <w:rFonts w:ascii="Arial" w:hAnsi="Arial" w:cs="Arial"/>
        </w:rPr>
        <w:t xml:space="preserve"> </w:t>
      </w:r>
      <w:r w:rsidRPr="00030456">
        <w:rPr>
          <w:rFonts w:ascii="Arial" w:hAnsi="Arial" w:cs="Arial"/>
        </w:rPr>
        <w:t>sztuk</w:t>
      </w:r>
      <w:r w:rsidR="005522D4">
        <w:rPr>
          <w:rFonts w:ascii="Arial" w:hAnsi="Arial" w:cs="Arial"/>
        </w:rPr>
        <w:t>a</w:t>
      </w:r>
      <w:r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413BB2">
        <w:rPr>
          <w:rFonts w:ascii="Arial" w:hAnsi="Arial" w:cs="Arial"/>
          <w:spacing w:val="-1"/>
          <w:lang w:eastAsia="zh-CN"/>
        </w:rPr>
        <w:t>2</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3"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216256" w:rsidRDefault="00402E02" w:rsidP="0084780D">
            <w:pPr>
              <w:adjustRightInd w:val="0"/>
              <w:rPr>
                <w:rFonts w:ascii="Arial" w:hAnsi="Arial" w:cs="Arial"/>
                <w:sz w:val="16"/>
                <w:szCs w:val="16"/>
              </w:rPr>
            </w:pPr>
            <w:r>
              <w:rPr>
                <w:rFonts w:ascii="Arial" w:hAnsi="Arial" w:cs="Arial"/>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Dysk Twardy</w:t>
            </w:r>
          </w:p>
        </w:tc>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 xml:space="preserve">HDD co najmniej </w:t>
            </w:r>
            <w:r>
              <w:rPr>
                <w:rFonts w:ascii="Arial" w:hAnsi="Arial" w:cs="Arial"/>
                <w:sz w:val="16"/>
                <w:szCs w:val="16"/>
              </w:rPr>
              <w:t>990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 xml:space="preserve">-letnia gwarancja producenta liczona od daty dostawy. Podjęcie gwarancyjnych usług serwisowych - 3 dni robocze od przekazania zgłoszenia przez Zamawiającego (przyjmowanie zgłoszeń w dni robocze </w:t>
            </w:r>
            <w:r w:rsidRPr="00216256">
              <w:rPr>
                <w:rFonts w:ascii="Arial" w:hAnsi="Arial" w:cs="Arial"/>
                <w:sz w:val="16"/>
                <w:szCs w:val="16"/>
              </w:rPr>
              <w:lastRenderedPageBreak/>
              <w:t>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lastRenderedPageBreak/>
              <w:t>Okres gwarancji …..……………………………………………..</w:t>
            </w:r>
          </w:p>
        </w:tc>
      </w:tr>
    </w:tbl>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lastRenderedPageBreak/>
        <w:t xml:space="preserve">Część </w:t>
      </w:r>
      <w:r w:rsidR="00413BB2">
        <w:rPr>
          <w:rFonts w:ascii="Arial" w:hAnsi="Arial" w:cs="Arial"/>
          <w:spacing w:val="-1"/>
          <w:lang w:eastAsia="zh-CN"/>
        </w:rPr>
        <w:t>3</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4"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2*750W redundantne, szyny do montażu w szafach 19”</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4619"/>
        <w:gridCol w:w="4177"/>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413BB2"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w:t>
            </w:r>
            <w:r w:rsidR="00413BB2">
              <w:rPr>
                <w:rFonts w:ascii="Arial" w:hAnsi="Arial" w:cs="Arial"/>
                <w:sz w:val="16"/>
                <w:szCs w:val="16"/>
              </w:rPr>
              <w:t xml:space="preserve">dyski mają być podłączone na dwóch oddzielnych kanałach realizacja może się odbywać za pomocą na przykład </w:t>
            </w:r>
            <w:r w:rsidR="00146C67">
              <w:rPr>
                <w:rFonts w:ascii="Arial" w:hAnsi="Arial" w:cs="Arial"/>
                <w:sz w:val="16"/>
                <w:szCs w:val="16"/>
              </w:rPr>
              <w:t>dw</w:t>
            </w:r>
            <w:r w:rsidR="00413BB2">
              <w:rPr>
                <w:rFonts w:ascii="Arial" w:hAnsi="Arial" w:cs="Arial"/>
                <w:sz w:val="16"/>
                <w:szCs w:val="16"/>
              </w:rPr>
              <w:t>óch</w:t>
            </w:r>
            <w:r w:rsidR="00146C67">
              <w:rPr>
                <w:rFonts w:ascii="Arial" w:hAnsi="Arial" w:cs="Arial"/>
                <w:sz w:val="16"/>
                <w:szCs w:val="16"/>
              </w:rPr>
              <w:t xml:space="preserve"> sztuk</w:t>
            </w:r>
            <w:r w:rsidR="00413BB2">
              <w:rPr>
                <w:rFonts w:ascii="Arial" w:hAnsi="Arial" w:cs="Arial"/>
                <w:sz w:val="16"/>
                <w:szCs w:val="16"/>
              </w:rPr>
              <w:t>ach</w:t>
            </w:r>
            <w:r w:rsidR="00146C67">
              <w:rPr>
                <w:rFonts w:ascii="Arial" w:hAnsi="Arial" w:cs="Arial"/>
                <w:sz w:val="16"/>
                <w:szCs w:val="16"/>
              </w:rPr>
              <w:t xml:space="preserve">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Min. 1</w:t>
            </w:r>
            <w:r w:rsidR="00413BB2">
              <w:rPr>
                <w:rFonts w:ascii="Arial" w:hAnsi="Arial" w:cs="Arial"/>
                <w:sz w:val="16"/>
                <w:szCs w:val="16"/>
              </w:rPr>
              <w:t>2+2</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w:t>
            </w:r>
            <w:r w:rsidR="00413BB2">
              <w:rPr>
                <w:rFonts w:ascii="Arial" w:hAnsi="Arial" w:cs="Arial"/>
                <w:sz w:val="16"/>
                <w:szCs w:val="16"/>
              </w:rPr>
              <w:t>12</w:t>
            </w:r>
            <w:r>
              <w:rPr>
                <w:rFonts w:ascii="Arial" w:hAnsi="Arial" w:cs="Arial"/>
                <w:sz w:val="16"/>
                <w:szCs w:val="16"/>
              </w:rPr>
              <w:t>TB</w:t>
            </w:r>
            <w:r w:rsidR="00146C67">
              <w:rPr>
                <w:rFonts w:ascii="Arial" w:hAnsi="Arial" w:cs="Arial"/>
                <w:sz w:val="16"/>
                <w:szCs w:val="16"/>
              </w:rPr>
              <w:t>,</w:t>
            </w:r>
            <w:r w:rsidR="00413BB2">
              <w:rPr>
                <w:rFonts w:ascii="Arial" w:hAnsi="Arial" w:cs="Arial"/>
                <w:sz w:val="16"/>
                <w:szCs w:val="16"/>
              </w:rPr>
              <w:t xml:space="preserve"> pod warunkiem zachowania min. 2</w:t>
            </w:r>
            <w:r w:rsidR="00146C67">
              <w:rPr>
                <w:rFonts w:ascii="Arial" w:hAnsi="Arial" w:cs="Arial"/>
                <w:sz w:val="16"/>
                <w:szCs w:val="16"/>
              </w:rPr>
              <w:t xml:space="preserve"> jako zapasu – zapasowe dyski obejmują także </w:t>
            </w:r>
            <w:r w:rsidR="00413BB2">
              <w:rPr>
                <w:rFonts w:ascii="Arial" w:hAnsi="Arial" w:cs="Arial"/>
                <w:sz w:val="16"/>
                <w:szCs w:val="16"/>
              </w:rPr>
              <w:t>ramki</w:t>
            </w:r>
            <w:r w:rsidR="00146C67">
              <w:rPr>
                <w:rFonts w:ascii="Arial" w:hAnsi="Arial" w:cs="Arial"/>
                <w:sz w:val="16"/>
                <w:szCs w:val="16"/>
              </w:rPr>
              <w:t xml:space="preserv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413BB2"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5"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C27ADC"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CE3032">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CE3032">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6"/>
      <w:headerReference w:type="first" r:id="rId17"/>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32" w:rsidRDefault="00CE3032">
      <w:r>
        <w:separator/>
      </w:r>
    </w:p>
  </w:endnote>
  <w:endnote w:type="continuationSeparator" w:id="0">
    <w:p w:rsidR="00CE3032" w:rsidRDefault="00CE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32" w:rsidRDefault="00CE3032"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2</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C27ADC">
      <w:rPr>
        <w:rStyle w:val="Numerstrony"/>
        <w:rFonts w:ascii="Arial Narrow" w:hAnsi="Arial Narrow"/>
        <w:i/>
        <w:noProof/>
        <w:sz w:val="20"/>
        <w:szCs w:val="20"/>
      </w:rPr>
      <w:t>2</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C27ADC">
      <w:rPr>
        <w:rStyle w:val="Numerstrony"/>
        <w:rFonts w:ascii="Arial Narrow" w:hAnsi="Arial Narrow"/>
        <w:i/>
        <w:noProof/>
        <w:sz w:val="20"/>
        <w:szCs w:val="20"/>
      </w:rPr>
      <w:t>35</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32" w:rsidRDefault="00CE3032">
      <w:r>
        <w:separator/>
      </w:r>
    </w:p>
  </w:footnote>
  <w:footnote w:type="continuationSeparator" w:id="0">
    <w:p w:rsidR="00CE3032" w:rsidRDefault="00CE3032">
      <w:r>
        <w:continuationSeparator/>
      </w:r>
    </w:p>
  </w:footnote>
  <w:footnote w:id="1">
    <w:p w:rsidR="00CE3032" w:rsidRPr="004A0F6E" w:rsidRDefault="00CE3032"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CE3032" w:rsidRPr="00D8052E" w:rsidTr="004567BD">
      <w:trPr>
        <w:trHeight w:val="930"/>
        <w:jc w:val="center"/>
      </w:trPr>
      <w:tc>
        <w:tcPr>
          <w:tcW w:w="2619" w:type="dxa"/>
          <w:vMerge w:val="restart"/>
          <w:vAlign w:val="center"/>
        </w:tcPr>
        <w:p w:rsidR="00CE3032" w:rsidRPr="00D8052E" w:rsidRDefault="00C27ADC"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Instytut Badań Systemowych</w:t>
          </w:r>
        </w:p>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Polskiej Akademii Nauk</w:t>
          </w:r>
        </w:p>
        <w:p w:rsidR="00CE3032" w:rsidRPr="00D8052E" w:rsidRDefault="00CE3032" w:rsidP="004567BD">
          <w:pPr>
            <w:rPr>
              <w:rFonts w:ascii="Calibri" w:hAnsi="Calibri"/>
              <w:b/>
              <w:sz w:val="16"/>
              <w:szCs w:val="16"/>
            </w:rPr>
          </w:pPr>
        </w:p>
        <w:p w:rsidR="00CE3032" w:rsidRPr="00D8052E" w:rsidRDefault="00CE3032" w:rsidP="004567BD">
          <w:pPr>
            <w:rPr>
              <w:rFonts w:ascii="Calibri" w:hAnsi="Calibri"/>
              <w:b/>
              <w:sz w:val="16"/>
              <w:szCs w:val="16"/>
            </w:rPr>
          </w:pPr>
        </w:p>
      </w:tc>
      <w:tc>
        <w:tcPr>
          <w:tcW w:w="956" w:type="dxa"/>
          <w:vMerge w:val="restart"/>
          <w:vAlign w:val="center"/>
        </w:tcPr>
        <w:p w:rsidR="00CE3032" w:rsidRPr="00154B34" w:rsidRDefault="00CE3032" w:rsidP="004567BD">
          <w:pPr>
            <w:rPr>
              <w:rFonts w:ascii="Calibri" w:hAnsi="Calibri"/>
              <w:sz w:val="20"/>
              <w:szCs w:val="18"/>
            </w:rPr>
          </w:pPr>
          <w:r w:rsidRPr="00154B34">
            <w:rPr>
              <w:rFonts w:ascii="Calibri" w:hAnsi="Calibri"/>
              <w:sz w:val="20"/>
              <w:szCs w:val="18"/>
            </w:rPr>
            <w:t xml:space="preserve">Centrala: </w:t>
          </w:r>
        </w:p>
        <w:p w:rsidR="00CE3032" w:rsidRPr="00154B34" w:rsidRDefault="00CE3032" w:rsidP="004567BD">
          <w:pPr>
            <w:rPr>
              <w:rFonts w:ascii="Calibri" w:hAnsi="Calibri"/>
              <w:sz w:val="20"/>
              <w:szCs w:val="18"/>
            </w:rPr>
          </w:pPr>
          <w:r w:rsidRPr="00154B34">
            <w:rPr>
              <w:rFonts w:ascii="Calibri" w:hAnsi="Calibri"/>
              <w:sz w:val="20"/>
              <w:szCs w:val="18"/>
            </w:rPr>
            <w:t>Dyrekcja:</w:t>
          </w:r>
        </w:p>
        <w:p w:rsidR="00CE3032" w:rsidRPr="00154B34" w:rsidRDefault="00CE3032" w:rsidP="004567BD">
          <w:pPr>
            <w:rPr>
              <w:rFonts w:ascii="Calibri" w:hAnsi="Calibri"/>
              <w:sz w:val="20"/>
              <w:szCs w:val="18"/>
            </w:rPr>
          </w:pPr>
          <w:r w:rsidRPr="00154B34">
            <w:rPr>
              <w:rFonts w:ascii="Calibri" w:hAnsi="Calibri"/>
              <w:sz w:val="20"/>
              <w:szCs w:val="18"/>
            </w:rPr>
            <w:t>Fax:</w:t>
          </w:r>
        </w:p>
        <w:p w:rsidR="00CE3032" w:rsidRPr="00154B34" w:rsidRDefault="00CE3032" w:rsidP="004567BD">
          <w:pPr>
            <w:rPr>
              <w:rFonts w:ascii="Calibri" w:hAnsi="Calibri"/>
              <w:sz w:val="20"/>
              <w:szCs w:val="18"/>
            </w:rPr>
          </w:pPr>
          <w:r w:rsidRPr="00154B34">
            <w:rPr>
              <w:rFonts w:ascii="Calibri" w:hAnsi="Calibri"/>
              <w:sz w:val="20"/>
              <w:szCs w:val="18"/>
            </w:rPr>
            <w:t>E-mail:</w:t>
          </w:r>
        </w:p>
        <w:p w:rsidR="00CE3032" w:rsidRPr="00154B34" w:rsidRDefault="00CE3032" w:rsidP="004567BD">
          <w:pPr>
            <w:rPr>
              <w:rFonts w:ascii="Calibri" w:hAnsi="Calibri"/>
              <w:sz w:val="20"/>
              <w:szCs w:val="18"/>
            </w:rPr>
          </w:pPr>
          <w:r w:rsidRPr="00154B34">
            <w:rPr>
              <w:rFonts w:ascii="Calibri" w:hAnsi="Calibri"/>
              <w:sz w:val="20"/>
              <w:szCs w:val="18"/>
            </w:rPr>
            <w:t>Web:</w:t>
          </w:r>
        </w:p>
        <w:p w:rsidR="00CE3032" w:rsidRPr="00154B34" w:rsidRDefault="00CE3032"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CE3032" w:rsidRPr="00154B34" w:rsidRDefault="00CE3032" w:rsidP="004567BD">
          <w:pPr>
            <w:jc w:val="right"/>
            <w:rPr>
              <w:rFonts w:ascii="Calibri" w:hAnsi="Calibri"/>
              <w:sz w:val="20"/>
              <w:szCs w:val="18"/>
            </w:rPr>
          </w:pPr>
          <w:r w:rsidRPr="00154B34">
            <w:rPr>
              <w:rFonts w:ascii="Calibri" w:hAnsi="Calibri"/>
              <w:sz w:val="20"/>
              <w:szCs w:val="18"/>
            </w:rPr>
            <w:t>22 38 10 100</w:t>
          </w:r>
        </w:p>
        <w:p w:rsidR="00CE3032" w:rsidRPr="00154B34" w:rsidRDefault="00CE3032" w:rsidP="004567BD">
          <w:pPr>
            <w:jc w:val="right"/>
            <w:rPr>
              <w:rFonts w:ascii="Calibri" w:hAnsi="Calibri"/>
              <w:sz w:val="20"/>
              <w:szCs w:val="18"/>
            </w:rPr>
          </w:pPr>
          <w:r w:rsidRPr="00154B34">
            <w:rPr>
              <w:rFonts w:ascii="Calibri" w:hAnsi="Calibri"/>
              <w:sz w:val="20"/>
              <w:szCs w:val="18"/>
            </w:rPr>
            <w:t>22 38 10 275</w:t>
          </w:r>
        </w:p>
        <w:p w:rsidR="00CE3032" w:rsidRPr="00154B34" w:rsidRDefault="00CE3032" w:rsidP="004567BD">
          <w:pPr>
            <w:jc w:val="right"/>
            <w:rPr>
              <w:rFonts w:ascii="Calibri" w:hAnsi="Calibri"/>
              <w:sz w:val="20"/>
              <w:szCs w:val="18"/>
            </w:rPr>
          </w:pPr>
          <w:r w:rsidRPr="00154B34">
            <w:rPr>
              <w:rFonts w:ascii="Calibri" w:hAnsi="Calibri"/>
              <w:sz w:val="20"/>
              <w:szCs w:val="18"/>
            </w:rPr>
            <w:t>22 38 10 105</w:t>
          </w:r>
        </w:p>
        <w:p w:rsidR="00CE3032" w:rsidRPr="00154B34" w:rsidRDefault="00CE3032" w:rsidP="004567BD">
          <w:pPr>
            <w:jc w:val="right"/>
            <w:rPr>
              <w:rFonts w:ascii="Calibri" w:hAnsi="Calibri"/>
              <w:sz w:val="20"/>
              <w:szCs w:val="18"/>
            </w:rPr>
          </w:pPr>
          <w:r w:rsidRPr="00154B34">
            <w:rPr>
              <w:rFonts w:ascii="Calibri" w:hAnsi="Calibri"/>
              <w:sz w:val="20"/>
              <w:szCs w:val="18"/>
            </w:rPr>
            <w:t>ibs@ibspan.waw.pl</w:t>
          </w:r>
        </w:p>
        <w:p w:rsidR="00CE3032" w:rsidRPr="00154B34" w:rsidRDefault="00CE3032" w:rsidP="004567BD">
          <w:pPr>
            <w:jc w:val="right"/>
            <w:rPr>
              <w:rFonts w:ascii="Calibri" w:hAnsi="Calibri"/>
              <w:sz w:val="20"/>
              <w:szCs w:val="18"/>
            </w:rPr>
          </w:pPr>
          <w:r w:rsidRPr="00154B34">
            <w:rPr>
              <w:rFonts w:ascii="Calibri" w:hAnsi="Calibri"/>
              <w:sz w:val="20"/>
              <w:szCs w:val="18"/>
            </w:rPr>
            <w:t>www.ibspan.waw.pl</w:t>
          </w:r>
        </w:p>
        <w:p w:rsidR="00CE3032" w:rsidRPr="00154B34" w:rsidRDefault="00CE3032" w:rsidP="004567BD">
          <w:pPr>
            <w:jc w:val="right"/>
            <w:rPr>
              <w:rFonts w:ascii="Calibri" w:hAnsi="Calibri"/>
              <w:sz w:val="20"/>
              <w:szCs w:val="18"/>
            </w:rPr>
          </w:pPr>
          <w:r w:rsidRPr="00154B34">
            <w:rPr>
              <w:rFonts w:ascii="Calibri" w:hAnsi="Calibri"/>
              <w:sz w:val="20"/>
              <w:szCs w:val="18"/>
            </w:rPr>
            <w:t>525 000 86 08</w:t>
          </w:r>
        </w:p>
      </w:tc>
    </w:tr>
    <w:tr w:rsidR="00CE3032" w:rsidRPr="00D8052E" w:rsidTr="004567BD">
      <w:trPr>
        <w:trHeight w:val="394"/>
        <w:jc w:val="center"/>
      </w:trPr>
      <w:tc>
        <w:tcPr>
          <w:tcW w:w="2619" w:type="dxa"/>
          <w:vMerge/>
          <w:vAlign w:val="center"/>
        </w:tcPr>
        <w:p w:rsidR="00CE3032" w:rsidRPr="00D8052E" w:rsidRDefault="00CE3032" w:rsidP="004567BD">
          <w:pPr>
            <w:jc w:val="center"/>
            <w:rPr>
              <w:rFonts w:ascii="Calibri" w:hAnsi="Calibri"/>
              <w:sz w:val="16"/>
              <w:szCs w:val="16"/>
            </w:rPr>
          </w:pPr>
        </w:p>
      </w:tc>
      <w:tc>
        <w:tcPr>
          <w:tcW w:w="5407" w:type="dxa"/>
          <w:vAlign w:val="bottom"/>
        </w:tcPr>
        <w:p w:rsidR="00CE3032" w:rsidRPr="00D8052E" w:rsidRDefault="00CE3032"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CE3032" w:rsidRPr="00D8052E" w:rsidRDefault="00CE3032" w:rsidP="004567BD">
          <w:pPr>
            <w:jc w:val="center"/>
            <w:rPr>
              <w:rFonts w:ascii="Calibri" w:hAnsi="Calibri"/>
              <w:sz w:val="16"/>
              <w:szCs w:val="16"/>
            </w:rPr>
          </w:pPr>
        </w:p>
      </w:tc>
      <w:tc>
        <w:tcPr>
          <w:tcW w:w="1700" w:type="dxa"/>
          <w:vMerge/>
          <w:vAlign w:val="center"/>
        </w:tcPr>
        <w:p w:rsidR="00CE3032" w:rsidRPr="00D8052E" w:rsidRDefault="00CE3032" w:rsidP="004567BD">
          <w:pPr>
            <w:jc w:val="center"/>
            <w:rPr>
              <w:rFonts w:ascii="Calibri" w:hAnsi="Calibri"/>
              <w:sz w:val="16"/>
              <w:szCs w:val="16"/>
            </w:rPr>
          </w:pPr>
        </w:p>
      </w:tc>
    </w:tr>
    <w:tr w:rsidR="00CE3032" w:rsidRPr="00D8052E" w:rsidTr="004567BD">
      <w:trPr>
        <w:trHeight w:val="80"/>
        <w:jc w:val="center"/>
      </w:trPr>
      <w:tc>
        <w:tcPr>
          <w:tcW w:w="10682" w:type="dxa"/>
          <w:gridSpan w:val="4"/>
          <w:tcBorders>
            <w:bottom w:val="single" w:sz="18" w:space="0" w:color="004CCC"/>
          </w:tcBorders>
          <w:vAlign w:val="center"/>
        </w:tcPr>
        <w:p w:rsidR="00CE3032" w:rsidRPr="00D8052E" w:rsidRDefault="00CE3032" w:rsidP="004567BD">
          <w:pPr>
            <w:rPr>
              <w:rFonts w:ascii="Calibri" w:hAnsi="Calibri"/>
              <w:sz w:val="16"/>
              <w:szCs w:val="16"/>
            </w:rPr>
          </w:pPr>
        </w:p>
      </w:tc>
    </w:tr>
  </w:tbl>
  <w:p w:rsidR="00CE3032" w:rsidRDefault="00CE303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4"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8"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9"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6"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9"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36"/>
  </w:num>
  <w:num w:numId="4">
    <w:abstractNumId w:val="37"/>
  </w:num>
  <w:num w:numId="5">
    <w:abstractNumId w:val="33"/>
  </w:num>
  <w:num w:numId="6">
    <w:abstractNumId w:val="42"/>
    <w:lvlOverride w:ilvl="0">
      <w:startOverride w:val="1"/>
    </w:lvlOverride>
  </w:num>
  <w:num w:numId="7">
    <w:abstractNumId w:val="30"/>
    <w:lvlOverride w:ilvl="0">
      <w:startOverride w:val="1"/>
    </w:lvlOverride>
  </w:num>
  <w:num w:numId="8">
    <w:abstractNumId w:val="15"/>
  </w:num>
  <w:num w:numId="9">
    <w:abstractNumId w:val="49"/>
  </w:num>
  <w:num w:numId="10">
    <w:abstractNumId w:val="7"/>
  </w:num>
  <w:num w:numId="11">
    <w:abstractNumId w:val="31"/>
  </w:num>
  <w:num w:numId="12">
    <w:abstractNumId w:val="26"/>
  </w:num>
  <w:num w:numId="13">
    <w:abstractNumId w:val="41"/>
    <w:lvlOverride w:ilvl="0">
      <w:startOverride w:val="1"/>
    </w:lvlOverride>
  </w:num>
  <w:num w:numId="14">
    <w:abstractNumId w:val="32"/>
  </w:num>
  <w:num w:numId="15">
    <w:abstractNumId w:val="43"/>
  </w:num>
  <w:num w:numId="16">
    <w:abstractNumId w:val="48"/>
  </w:num>
  <w:num w:numId="17">
    <w:abstractNumId w:val="34"/>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6"/>
  </w:num>
  <w:num w:numId="28">
    <w:abstractNumId w:val="35"/>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78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1F4"/>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13BB2"/>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51764"/>
    <w:rsid w:val="005522D4"/>
    <w:rsid w:val="005970EC"/>
    <w:rsid w:val="005A537C"/>
    <w:rsid w:val="005B618F"/>
    <w:rsid w:val="005F7227"/>
    <w:rsid w:val="00631C46"/>
    <w:rsid w:val="0063278D"/>
    <w:rsid w:val="00632ACE"/>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9530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B1092"/>
    <w:rsid w:val="00AB63F9"/>
    <w:rsid w:val="00AC3130"/>
    <w:rsid w:val="00AD0136"/>
    <w:rsid w:val="00AF06BE"/>
    <w:rsid w:val="00AF1DA3"/>
    <w:rsid w:val="00B05D34"/>
    <w:rsid w:val="00B06158"/>
    <w:rsid w:val="00B06FA2"/>
    <w:rsid w:val="00B1455B"/>
    <w:rsid w:val="00B204CB"/>
    <w:rsid w:val="00B217F2"/>
    <w:rsid w:val="00B26A37"/>
    <w:rsid w:val="00B41C7F"/>
    <w:rsid w:val="00B42BE9"/>
    <w:rsid w:val="00B5228E"/>
    <w:rsid w:val="00B708C4"/>
    <w:rsid w:val="00B7103F"/>
    <w:rsid w:val="00B77D55"/>
    <w:rsid w:val="00B96859"/>
    <w:rsid w:val="00BA1EB4"/>
    <w:rsid w:val="00BD7F1C"/>
    <w:rsid w:val="00BE39CE"/>
    <w:rsid w:val="00BF7A8C"/>
    <w:rsid w:val="00C117A7"/>
    <w:rsid w:val="00C20CC2"/>
    <w:rsid w:val="00C22A5B"/>
    <w:rsid w:val="00C23CDC"/>
    <w:rsid w:val="00C27ADC"/>
    <w:rsid w:val="00C504EC"/>
    <w:rsid w:val="00C52E42"/>
    <w:rsid w:val="00C60E44"/>
    <w:rsid w:val="00C8508D"/>
    <w:rsid w:val="00C91843"/>
    <w:rsid w:val="00C94C41"/>
    <w:rsid w:val="00CA02F6"/>
    <w:rsid w:val="00CA5BFC"/>
    <w:rsid w:val="00CA6ADF"/>
    <w:rsid w:val="00CC2222"/>
    <w:rsid w:val="00CC7ECC"/>
    <w:rsid w:val="00CD072E"/>
    <w:rsid w:val="00CE3032"/>
    <w:rsid w:val="00CE69D2"/>
    <w:rsid w:val="00D43EDD"/>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cpubenchmark.net/high_end_cpu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hyperlink" Target="https://www.ibspan.waw.pl/zamowienia-publi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cpubenchmark.net/high_end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11E2-B00D-4663-9097-B4F8C50A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11667</Words>
  <Characters>77936</Characters>
  <Application>Microsoft Office Word</Application>
  <DocSecurity>0</DocSecurity>
  <Lines>1731</Lines>
  <Paragraphs>609</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88994</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4</cp:revision>
  <cp:lastPrinted>2021-12-14T18:58:00Z</cp:lastPrinted>
  <dcterms:created xsi:type="dcterms:W3CDTF">2022-05-04T20:05:00Z</dcterms:created>
  <dcterms:modified xsi:type="dcterms:W3CDTF">2022-05-04T20:08:00Z</dcterms:modified>
</cp:coreProperties>
</file>